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45A5" w14:textId="77777777" w:rsidR="0008248A" w:rsidRDefault="0008248A" w:rsidP="00DD055B">
      <w:pPr>
        <w:pStyle w:val="Default"/>
        <w:spacing w:after="120"/>
        <w:jc w:val="center"/>
        <w:rPr>
          <w:rFonts w:asciiTheme="minorHAnsi" w:hAnsiTheme="minorHAnsi" w:cstheme="minorHAnsi"/>
          <w:bCs/>
          <w:sz w:val="22"/>
          <w:szCs w:val="22"/>
          <w:lang w:val="en-GB"/>
        </w:rPr>
      </w:pPr>
    </w:p>
    <w:p w14:paraId="29BD9547" w14:textId="063E4AA9" w:rsidR="0008248A" w:rsidRPr="0008248A" w:rsidRDefault="00B76266" w:rsidP="00B76266">
      <w:pPr>
        <w:pStyle w:val="Default"/>
        <w:spacing w:after="120"/>
        <w:jc w:val="right"/>
        <w:rPr>
          <w:rFonts w:asciiTheme="minorHAnsi" w:hAnsiTheme="minorHAnsi" w:cstheme="minorHAnsi"/>
          <w:bCs/>
          <w:sz w:val="22"/>
          <w:szCs w:val="22"/>
          <w:lang w:val="en-GB"/>
        </w:rPr>
      </w:pPr>
      <w:r>
        <w:rPr>
          <w:rFonts w:asciiTheme="minorHAnsi" w:hAnsiTheme="minorHAnsi" w:cstheme="minorHAnsi"/>
          <w:bCs/>
          <w:sz w:val="22"/>
          <w:szCs w:val="22"/>
          <w:lang w:val="en-GB"/>
        </w:rPr>
        <w:t>31 August 2020</w:t>
      </w:r>
    </w:p>
    <w:p w14:paraId="6FFF86AF" w14:textId="38DEDA97" w:rsidR="0008248A" w:rsidRPr="0008248A" w:rsidRDefault="0008248A" w:rsidP="00DD055B">
      <w:pPr>
        <w:pStyle w:val="Default"/>
        <w:spacing w:after="120"/>
        <w:jc w:val="center"/>
        <w:rPr>
          <w:rFonts w:ascii="Verdana" w:hAnsi="Verdana" w:cstheme="minorHAnsi"/>
          <w:b/>
          <w:bCs/>
          <w:sz w:val="20"/>
          <w:szCs w:val="20"/>
          <w:lang w:val="en-GB"/>
        </w:rPr>
      </w:pPr>
    </w:p>
    <w:p w14:paraId="0E09863D" w14:textId="39021903" w:rsidR="0008248A" w:rsidRPr="0008248A" w:rsidRDefault="0008248A" w:rsidP="0008248A">
      <w:pPr>
        <w:spacing w:after="0" w:line="276" w:lineRule="auto"/>
        <w:jc w:val="center"/>
        <w:rPr>
          <w:rFonts w:ascii="Verdana" w:hAnsi="Verdana"/>
          <w:b/>
          <w:sz w:val="28"/>
          <w:szCs w:val="24"/>
          <w:lang w:val="en-GB"/>
        </w:rPr>
      </w:pPr>
      <w:r w:rsidRPr="0008248A">
        <w:rPr>
          <w:rFonts w:ascii="Verdana" w:hAnsi="Verdana"/>
          <w:b/>
          <w:sz w:val="28"/>
          <w:szCs w:val="24"/>
          <w:lang w:val="en-GB"/>
        </w:rPr>
        <w:t>EACB response to the</w:t>
      </w:r>
    </w:p>
    <w:p w14:paraId="20864DB3" w14:textId="77777777" w:rsidR="0008248A" w:rsidRPr="0008248A" w:rsidRDefault="0008248A" w:rsidP="0008248A">
      <w:pPr>
        <w:spacing w:after="0" w:line="276" w:lineRule="auto"/>
        <w:jc w:val="center"/>
        <w:rPr>
          <w:rFonts w:ascii="Verdana" w:hAnsi="Verdana"/>
          <w:b/>
          <w:sz w:val="28"/>
          <w:szCs w:val="24"/>
          <w:lang w:val="en-GB"/>
        </w:rPr>
      </w:pPr>
    </w:p>
    <w:p w14:paraId="0E1822E3" w14:textId="59FC7E80" w:rsidR="0008248A" w:rsidRPr="0008248A" w:rsidRDefault="0008248A" w:rsidP="0008248A">
      <w:pPr>
        <w:spacing w:after="0" w:line="276" w:lineRule="auto"/>
        <w:jc w:val="center"/>
        <w:rPr>
          <w:rFonts w:ascii="Verdana" w:hAnsi="Verdana"/>
          <w:b/>
          <w:sz w:val="28"/>
          <w:szCs w:val="24"/>
          <w:lang w:val="en-GB"/>
        </w:rPr>
      </w:pPr>
      <w:r w:rsidRPr="0008248A">
        <w:rPr>
          <w:rFonts w:ascii="Verdana" w:hAnsi="Verdana"/>
          <w:b/>
          <w:sz w:val="28"/>
          <w:szCs w:val="24"/>
          <w:lang w:val="en-GB"/>
        </w:rPr>
        <w:t xml:space="preserve"> ESMA Consultation Paper on</w:t>
      </w:r>
    </w:p>
    <w:p w14:paraId="2DC4E169" w14:textId="77777777" w:rsidR="0008248A" w:rsidRPr="0008248A" w:rsidRDefault="0008248A" w:rsidP="0008248A">
      <w:pPr>
        <w:spacing w:after="0" w:line="276" w:lineRule="auto"/>
        <w:jc w:val="center"/>
        <w:rPr>
          <w:rFonts w:ascii="Verdana" w:hAnsi="Verdana"/>
          <w:b/>
          <w:sz w:val="28"/>
          <w:szCs w:val="24"/>
          <w:lang w:val="en-GB"/>
        </w:rPr>
      </w:pPr>
      <w:r w:rsidRPr="0008248A">
        <w:rPr>
          <w:rFonts w:ascii="Verdana" w:hAnsi="Verdana"/>
          <w:b/>
          <w:sz w:val="28"/>
          <w:szCs w:val="24"/>
          <w:lang w:val="en-GB"/>
        </w:rPr>
        <w:t>Draft Guidelines on Outsourcing to Cloud Service Providers</w:t>
      </w:r>
    </w:p>
    <w:p w14:paraId="36A8D86C" w14:textId="77777777" w:rsidR="0008248A" w:rsidRPr="0008248A" w:rsidRDefault="0008248A" w:rsidP="0008248A">
      <w:pPr>
        <w:spacing w:after="0" w:line="276" w:lineRule="auto"/>
        <w:jc w:val="center"/>
        <w:rPr>
          <w:rFonts w:ascii="Verdana" w:hAnsi="Verdana"/>
          <w:b/>
          <w:sz w:val="28"/>
          <w:szCs w:val="24"/>
          <w:lang w:val="en-GB"/>
        </w:rPr>
      </w:pPr>
    </w:p>
    <w:p w14:paraId="06838413" w14:textId="77777777" w:rsidR="0008248A" w:rsidRPr="0008248A" w:rsidRDefault="0008248A" w:rsidP="0008248A">
      <w:pPr>
        <w:spacing w:after="0" w:line="276" w:lineRule="auto"/>
        <w:jc w:val="center"/>
        <w:rPr>
          <w:rFonts w:ascii="Verdana" w:hAnsi="Verdana"/>
          <w:b/>
          <w:sz w:val="28"/>
          <w:szCs w:val="24"/>
          <w:lang w:val="en-GB"/>
        </w:rPr>
      </w:pPr>
    </w:p>
    <w:p w14:paraId="7E6E8266" w14:textId="77777777" w:rsidR="0008248A" w:rsidRPr="0008248A" w:rsidRDefault="0008248A" w:rsidP="0008248A">
      <w:pPr>
        <w:spacing w:after="120" w:line="276" w:lineRule="auto"/>
        <w:jc w:val="center"/>
        <w:rPr>
          <w:rFonts w:ascii="Verdana" w:hAnsi="Verdana"/>
          <w:b/>
          <w:sz w:val="28"/>
          <w:szCs w:val="24"/>
          <w:lang w:val="en-GB"/>
        </w:rPr>
      </w:pPr>
    </w:p>
    <w:p w14:paraId="708D776A" w14:textId="77777777" w:rsidR="0008248A" w:rsidRPr="0008248A" w:rsidRDefault="0008248A" w:rsidP="0008248A">
      <w:pPr>
        <w:spacing w:after="120" w:line="276" w:lineRule="auto"/>
        <w:jc w:val="center"/>
        <w:rPr>
          <w:rFonts w:ascii="Verdana" w:hAnsi="Verdana"/>
          <w:b/>
          <w:sz w:val="24"/>
          <w:szCs w:val="24"/>
          <w:lang w:val="en-GB"/>
        </w:rPr>
      </w:pPr>
    </w:p>
    <w:p w14:paraId="7E2B2127" w14:textId="77777777" w:rsidR="0008248A" w:rsidRPr="0008248A" w:rsidRDefault="0008248A" w:rsidP="0008248A">
      <w:pPr>
        <w:spacing w:after="120" w:line="276" w:lineRule="auto"/>
        <w:jc w:val="center"/>
        <w:rPr>
          <w:rFonts w:ascii="Verdana" w:hAnsi="Verdana"/>
          <w:b/>
          <w:sz w:val="24"/>
          <w:szCs w:val="24"/>
          <w:lang w:val="en-GB"/>
        </w:rPr>
      </w:pPr>
    </w:p>
    <w:p w14:paraId="57A3DAEA" w14:textId="77777777" w:rsidR="0008248A" w:rsidRPr="0008248A" w:rsidRDefault="0008248A" w:rsidP="0008248A">
      <w:pPr>
        <w:spacing w:after="120" w:line="276" w:lineRule="auto"/>
        <w:jc w:val="center"/>
        <w:rPr>
          <w:rFonts w:ascii="Verdana" w:hAnsi="Verdana"/>
          <w:b/>
          <w:sz w:val="24"/>
          <w:szCs w:val="24"/>
          <w:lang w:val="en-GB"/>
        </w:rPr>
      </w:pPr>
    </w:p>
    <w:p w14:paraId="441225B0" w14:textId="77777777" w:rsidR="0008248A" w:rsidRPr="0008248A" w:rsidRDefault="0008248A" w:rsidP="0008248A">
      <w:pPr>
        <w:spacing w:after="120" w:line="276" w:lineRule="auto"/>
        <w:jc w:val="center"/>
        <w:rPr>
          <w:rFonts w:ascii="Verdana" w:hAnsi="Verdana"/>
          <w:b/>
          <w:sz w:val="24"/>
          <w:szCs w:val="24"/>
          <w:lang w:val="en-GB"/>
        </w:rPr>
      </w:pPr>
    </w:p>
    <w:p w14:paraId="073CB33F" w14:textId="77777777" w:rsidR="0008248A" w:rsidRPr="0008248A" w:rsidRDefault="0008248A" w:rsidP="0008248A">
      <w:pPr>
        <w:spacing w:after="120" w:line="276" w:lineRule="auto"/>
        <w:jc w:val="center"/>
        <w:rPr>
          <w:rFonts w:ascii="Verdana" w:hAnsi="Verdana"/>
          <w:b/>
          <w:sz w:val="24"/>
          <w:szCs w:val="24"/>
          <w:lang w:val="en-GB"/>
        </w:rPr>
      </w:pPr>
    </w:p>
    <w:p w14:paraId="3EB5375A" w14:textId="77777777" w:rsidR="0008248A" w:rsidRPr="0008248A" w:rsidRDefault="0008248A" w:rsidP="0008248A">
      <w:pPr>
        <w:spacing w:after="120" w:line="276" w:lineRule="auto"/>
        <w:rPr>
          <w:rFonts w:ascii="Verdana" w:hAnsi="Verdana"/>
          <w:b/>
          <w:sz w:val="24"/>
          <w:szCs w:val="24"/>
          <w:lang w:val="en-GB"/>
        </w:rPr>
      </w:pPr>
    </w:p>
    <w:p w14:paraId="49194BC4" w14:textId="77777777" w:rsidR="0008248A" w:rsidRPr="0008248A" w:rsidRDefault="0008248A" w:rsidP="0008248A">
      <w:pPr>
        <w:spacing w:after="120" w:line="276" w:lineRule="auto"/>
        <w:jc w:val="center"/>
        <w:rPr>
          <w:rFonts w:ascii="Verdana" w:hAnsi="Verdana"/>
          <w:b/>
          <w:sz w:val="24"/>
          <w:szCs w:val="24"/>
          <w:lang w:val="en-GB"/>
        </w:rPr>
      </w:pPr>
    </w:p>
    <w:p w14:paraId="4B9E9558"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6E3EE718"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3E96536A"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444224B2"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1D3E6B6B"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1C504A85" w14:textId="77777777"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4B00CA10" w14:textId="6A2DA789" w:rsid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p>
    <w:p w14:paraId="6A7C7066" w14:textId="7EB6EF21" w:rsidR="0008248A" w:rsidRP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color w:val="000000"/>
          <w:sz w:val="20"/>
          <w:szCs w:val="20"/>
          <w:lang w:val="en-GB" w:eastAsia="fr-FR"/>
        </w:rPr>
      </w:pPr>
      <w:r w:rsidRPr="0008248A">
        <w:rPr>
          <w:rFonts w:ascii="Verdana" w:eastAsia="Times New Roman" w:hAnsi="Verdana" w:cs="Times New Roman"/>
          <w:color w:val="000000"/>
          <w:sz w:val="20"/>
          <w:szCs w:val="20"/>
          <w:lang w:val="en-GB" w:eastAsia="fr-FR"/>
        </w:rPr>
        <w:t xml:space="preserve">The </w:t>
      </w:r>
      <w:r w:rsidRPr="0008248A">
        <w:rPr>
          <w:rFonts w:ascii="Verdana" w:eastAsia="Times New Roman" w:hAnsi="Verdana" w:cs="Times New Roman"/>
          <w:b/>
          <w:color w:val="000000"/>
          <w:sz w:val="20"/>
          <w:szCs w:val="20"/>
          <w:lang w:val="en-GB" w:eastAsia="fr-FR"/>
        </w:rPr>
        <w:t>European Association of Co-operative Banks</w:t>
      </w:r>
      <w:r w:rsidRPr="0008248A">
        <w:rPr>
          <w:rFonts w:ascii="Verdana" w:eastAsia="Times New Roman" w:hAnsi="Verdana" w:cs="Times New Roman"/>
          <w:color w:val="000000"/>
          <w:sz w:val="20"/>
          <w:szCs w:val="20"/>
          <w:lang w:val="en-GB" w:eastAsia="fr-FR"/>
        </w:rPr>
        <w:t xml:space="preserve"> (</w:t>
      </w:r>
      <w:hyperlink r:id="rId10" w:history="1">
        <w:r w:rsidRPr="0008248A">
          <w:rPr>
            <w:rFonts w:ascii="Verdana" w:eastAsia="Times New Roman" w:hAnsi="Verdana" w:cs="Times New Roman"/>
            <w:color w:val="0000FF"/>
            <w:sz w:val="20"/>
            <w:szCs w:val="20"/>
            <w:u w:val="single"/>
            <w:lang w:val="en-GB" w:eastAsia="fr-FR"/>
          </w:rPr>
          <w:t>EACB</w:t>
        </w:r>
      </w:hyperlink>
      <w:r w:rsidRPr="0008248A">
        <w:rPr>
          <w:rFonts w:ascii="Verdana" w:eastAsia="Times New Roman" w:hAnsi="Verdana" w:cs="Times New Roman"/>
          <w:color w:val="000000"/>
          <w:sz w:val="20"/>
          <w:szCs w:val="20"/>
          <w:lang w:val="en-GB" w:eastAsia="fr-FR"/>
        </w:rPr>
        <w:t>) represents, promotes and defends the common interests of its 27 member institutions and of cooperative banks, with regard to banking as well as to co-operative legislation. Founded in 1970, today the EACB is a leading professional lobbying association in the European banking industry. Co-operative banks play a major role in the financial and economic system. They contribute widely to stability thanks to their anti-cyclical behaviour, they are driver of local and social growth with 2.800 locally operating banks and 51,500 outlets, they serve 209 million customers, mainly consumers, SMEs and communities. Europe’s co-operative banks represent 84 million members and 713,000 employees and have an average market share in Europe of about 20%.</w:t>
      </w:r>
    </w:p>
    <w:p w14:paraId="42F0DCDC" w14:textId="77777777" w:rsidR="0008248A" w:rsidRPr="0008248A" w:rsidRDefault="0008248A" w:rsidP="0008248A">
      <w:pPr>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GB" w:eastAsia="fr-FR"/>
        </w:rPr>
      </w:pPr>
    </w:p>
    <w:p w14:paraId="2D55BBAA" w14:textId="77777777" w:rsidR="0008248A" w:rsidRPr="0008248A" w:rsidRDefault="0008248A" w:rsidP="0008248A">
      <w:pPr>
        <w:overflowPunct w:val="0"/>
        <w:autoSpaceDE w:val="0"/>
        <w:autoSpaceDN w:val="0"/>
        <w:adjustRightInd w:val="0"/>
        <w:spacing w:after="0" w:line="240" w:lineRule="auto"/>
        <w:jc w:val="both"/>
        <w:textAlignment w:val="baseline"/>
        <w:outlineLvl w:val="0"/>
        <w:rPr>
          <w:rFonts w:ascii="Verdana" w:eastAsia="Times New Roman" w:hAnsi="Verdana" w:cs="Times New Roman"/>
          <w:color w:val="0000FF"/>
          <w:sz w:val="20"/>
          <w:szCs w:val="20"/>
          <w:u w:val="single"/>
          <w:lang w:val="en-GB" w:eastAsia="fr-FR"/>
        </w:rPr>
      </w:pPr>
      <w:r w:rsidRPr="0008248A">
        <w:rPr>
          <w:rFonts w:ascii="Verdana" w:eastAsia="Times New Roman" w:hAnsi="Verdana" w:cs="Times New Roman"/>
          <w:sz w:val="20"/>
          <w:szCs w:val="20"/>
          <w:lang w:val="en-GB" w:eastAsia="fr-FR"/>
        </w:rPr>
        <w:t>For further details, please visit</w:t>
      </w:r>
      <w:r w:rsidRPr="0008248A">
        <w:rPr>
          <w:rFonts w:ascii="Verdana" w:eastAsia="Times New Roman" w:hAnsi="Verdana" w:cs="Times New Roman"/>
          <w:b/>
          <w:sz w:val="20"/>
          <w:szCs w:val="20"/>
          <w:lang w:val="en-GB" w:eastAsia="fr-FR"/>
        </w:rPr>
        <w:t xml:space="preserve"> </w:t>
      </w:r>
      <w:hyperlink r:id="rId11" w:history="1">
        <w:r w:rsidRPr="0008248A">
          <w:rPr>
            <w:rFonts w:ascii="Verdana" w:eastAsia="Times New Roman" w:hAnsi="Verdana" w:cs="Times New Roman"/>
            <w:color w:val="0000FF"/>
            <w:sz w:val="20"/>
            <w:szCs w:val="20"/>
            <w:u w:val="single"/>
            <w:lang w:val="en-GB" w:eastAsia="fr-FR"/>
          </w:rPr>
          <w:t>www.eacb.coop</w:t>
        </w:r>
      </w:hyperlink>
    </w:p>
    <w:p w14:paraId="5874A5CD" w14:textId="77777777" w:rsidR="0008248A" w:rsidRPr="0008248A" w:rsidRDefault="0008248A" w:rsidP="00DD055B">
      <w:pPr>
        <w:pStyle w:val="Default"/>
        <w:spacing w:after="120"/>
        <w:jc w:val="center"/>
        <w:rPr>
          <w:rFonts w:ascii="Verdana" w:hAnsi="Verdana" w:cstheme="minorHAnsi"/>
          <w:b/>
          <w:bCs/>
          <w:sz w:val="20"/>
          <w:szCs w:val="20"/>
          <w:lang w:val="en-GB"/>
        </w:rPr>
      </w:pPr>
    </w:p>
    <w:p w14:paraId="71A45CA7" w14:textId="48BD094C" w:rsidR="00B76266" w:rsidRPr="00E81295" w:rsidRDefault="00B76266" w:rsidP="00B76266">
      <w:pPr>
        <w:pBdr>
          <w:top w:val="single" w:sz="4" w:space="1" w:color="auto"/>
          <w:left w:val="single" w:sz="4" w:space="4" w:color="auto"/>
          <w:bottom w:val="single" w:sz="4" w:space="2" w:color="auto"/>
          <w:right w:val="single" w:sz="4" w:space="4" w:color="auto"/>
        </w:pBdr>
        <w:shd w:val="clear" w:color="auto" w:fill="AEAAAA" w:themeFill="background2" w:themeFillShade="BF"/>
        <w:overflowPunct w:val="0"/>
        <w:autoSpaceDE w:val="0"/>
        <w:autoSpaceDN w:val="0"/>
        <w:adjustRightInd w:val="0"/>
        <w:spacing w:after="0" w:line="240" w:lineRule="auto"/>
        <w:jc w:val="both"/>
        <w:textAlignment w:val="baseline"/>
        <w:outlineLvl w:val="0"/>
        <w:rPr>
          <w:rFonts w:ascii="Verdana" w:eastAsia="Times New Roman" w:hAnsi="Verdana" w:cs="Times New Roman"/>
          <w:b/>
          <w:color w:val="767171"/>
          <w:sz w:val="24"/>
          <w:szCs w:val="24"/>
          <w:lang w:eastAsia="fr-FR"/>
        </w:rPr>
      </w:pPr>
      <w:r>
        <w:rPr>
          <w:rFonts w:ascii="Verdana" w:eastAsia="Times New Roman" w:hAnsi="Verdana" w:cs="Times New Roman"/>
          <w:b/>
          <w:color w:val="767171"/>
          <w:sz w:val="24"/>
          <w:szCs w:val="24"/>
          <w:lang w:eastAsia="fr-FR"/>
        </w:rPr>
        <w:lastRenderedPageBreak/>
        <w:t>General Comments</w:t>
      </w:r>
    </w:p>
    <w:p w14:paraId="5B0793E9" w14:textId="5B87A418" w:rsidR="00DD055B" w:rsidRDefault="00DD055B" w:rsidP="00DD055B">
      <w:pPr>
        <w:pStyle w:val="Default"/>
        <w:spacing w:after="120"/>
        <w:rPr>
          <w:rFonts w:ascii="Verdana" w:hAnsi="Verdana" w:cstheme="minorHAnsi"/>
          <w:bCs/>
          <w:sz w:val="20"/>
          <w:szCs w:val="20"/>
          <w:lang w:val="en-GB"/>
        </w:rPr>
      </w:pPr>
    </w:p>
    <w:p w14:paraId="285D3BF8" w14:textId="77777777" w:rsidR="00B76266" w:rsidRPr="00B76266" w:rsidRDefault="00B76266" w:rsidP="00B76266">
      <w:pPr>
        <w:spacing w:after="250" w:line="276" w:lineRule="auto"/>
        <w:jc w:val="both"/>
        <w:rPr>
          <w:rFonts w:ascii="Verdana" w:eastAsiaTheme="minorEastAsia" w:hAnsi="Verdana" w:cs="Arial"/>
          <w:sz w:val="20"/>
          <w:szCs w:val="20"/>
          <w:lang w:val="en-US"/>
        </w:rPr>
      </w:pPr>
      <w:r w:rsidRPr="00B76266">
        <w:rPr>
          <w:rFonts w:ascii="Verdana" w:eastAsiaTheme="minorEastAsia" w:hAnsi="Verdana" w:cs="Arial"/>
          <w:sz w:val="20"/>
          <w:szCs w:val="20"/>
          <w:lang w:val="en-US"/>
        </w:rPr>
        <w:t>In general, the guidelines are acceptable, but some issues should be aligned to the reality of CSP. A general requirement on “access-to-premises” is outdated regarding cloud outsourcing. We support the idea that it should be re-defined e.g. as access to the systems, but not physical access to the infrastructure. Also, CSP is a highly standardized approach - technically, commercial and concerning contractual clauses. Individual negotiations and changes to standard agreements are state-of-the-art.</w:t>
      </w:r>
    </w:p>
    <w:p w14:paraId="1BD2673F" w14:textId="77777777" w:rsidR="00B76266" w:rsidRPr="00B76266" w:rsidRDefault="00B76266" w:rsidP="00B76266">
      <w:pPr>
        <w:spacing w:after="250" w:line="276" w:lineRule="auto"/>
        <w:jc w:val="both"/>
        <w:rPr>
          <w:rFonts w:ascii="Verdana" w:eastAsiaTheme="minorEastAsia" w:hAnsi="Verdana" w:cs="Arial"/>
          <w:sz w:val="20"/>
          <w:szCs w:val="20"/>
          <w:lang w:val="en-US"/>
        </w:rPr>
      </w:pPr>
      <w:r w:rsidRPr="00B76266">
        <w:rPr>
          <w:rFonts w:ascii="Verdana" w:eastAsiaTheme="minorEastAsia" w:hAnsi="Verdana" w:cs="Arial"/>
          <w:sz w:val="20"/>
          <w:szCs w:val="20"/>
          <w:lang w:val="en-US"/>
        </w:rPr>
        <w:t>Additionally a general comment on the decision 2016/1250 of the European Court of Justice of 16.7.2020 should be made, as the decision invalidates the EU-US Data Protection Shield agreement and raises a number of question marks concerning "cloud" depending where a cloud services provider (CSP) processes the "outsourced" data (see also Q6.54). However, the ECJ decision is quite new and possible consequences are unclear.</w:t>
      </w:r>
    </w:p>
    <w:p w14:paraId="7DAF0654" w14:textId="71CFA0AB" w:rsidR="00B76266" w:rsidRPr="00B76266" w:rsidRDefault="00B76266" w:rsidP="00B76266">
      <w:pPr>
        <w:pStyle w:val="Default"/>
        <w:spacing w:after="120"/>
        <w:rPr>
          <w:rFonts w:ascii="Verdana" w:hAnsi="Verdana" w:cstheme="minorHAnsi"/>
          <w:bCs/>
          <w:sz w:val="20"/>
          <w:szCs w:val="20"/>
          <w:lang w:val="en-GB"/>
        </w:rPr>
      </w:pPr>
      <w:r w:rsidRPr="00B76266">
        <w:rPr>
          <w:rFonts w:ascii="Verdana" w:eastAsiaTheme="minorEastAsia" w:hAnsi="Verdana"/>
          <w:sz w:val="20"/>
          <w:szCs w:val="20"/>
          <w:lang w:val="en-US"/>
        </w:rPr>
        <w:t>For co-operative banks in Europe, Guideline 6.50 is important, as it mentions (i) usage of third-party certifications and (ii) pooled audits performed jointly with other clients of the same CSP, which helps the model of co-operative banks using "cloud" services of centralized datacenters owned by the co-operative banks together. EACB wants to emphasise this issue, as our “internal” clouds within the co-operative sector are an essential element of the co-operative operating model</w:t>
      </w:r>
    </w:p>
    <w:p w14:paraId="5C9CC1AC" w14:textId="2EC8F0B1" w:rsidR="00B76266" w:rsidRDefault="00B76266" w:rsidP="00DD055B">
      <w:pPr>
        <w:pStyle w:val="Default"/>
        <w:spacing w:after="120"/>
        <w:rPr>
          <w:rFonts w:ascii="Verdana" w:hAnsi="Verdana" w:cstheme="minorHAnsi"/>
          <w:bCs/>
          <w:sz w:val="20"/>
          <w:szCs w:val="20"/>
          <w:lang w:val="en-GB"/>
        </w:rPr>
      </w:pPr>
    </w:p>
    <w:p w14:paraId="6DBE2866" w14:textId="7BBA3CFB" w:rsidR="00B76266" w:rsidRPr="00E81295" w:rsidRDefault="00B76266" w:rsidP="00B76266">
      <w:pPr>
        <w:pBdr>
          <w:top w:val="single" w:sz="4" w:space="1" w:color="auto"/>
          <w:left w:val="single" w:sz="4" w:space="4" w:color="auto"/>
          <w:bottom w:val="single" w:sz="4" w:space="2" w:color="auto"/>
          <w:right w:val="single" w:sz="4" w:space="4" w:color="auto"/>
        </w:pBdr>
        <w:shd w:val="clear" w:color="auto" w:fill="AEAAAA" w:themeFill="background2" w:themeFillShade="BF"/>
        <w:overflowPunct w:val="0"/>
        <w:autoSpaceDE w:val="0"/>
        <w:autoSpaceDN w:val="0"/>
        <w:adjustRightInd w:val="0"/>
        <w:spacing w:after="0" w:line="240" w:lineRule="auto"/>
        <w:jc w:val="both"/>
        <w:textAlignment w:val="baseline"/>
        <w:outlineLvl w:val="0"/>
        <w:rPr>
          <w:rFonts w:ascii="Verdana" w:eastAsia="Times New Roman" w:hAnsi="Verdana" w:cs="Times New Roman"/>
          <w:b/>
          <w:color w:val="767171"/>
          <w:sz w:val="24"/>
          <w:szCs w:val="24"/>
          <w:lang w:eastAsia="fr-FR"/>
        </w:rPr>
      </w:pPr>
      <w:r>
        <w:rPr>
          <w:rFonts w:ascii="Verdana" w:eastAsia="Times New Roman" w:hAnsi="Verdana" w:cs="Times New Roman"/>
          <w:b/>
          <w:color w:val="767171"/>
          <w:sz w:val="24"/>
          <w:szCs w:val="24"/>
          <w:lang w:eastAsia="fr-FR"/>
        </w:rPr>
        <w:t>Answers to the different questions</w:t>
      </w:r>
    </w:p>
    <w:p w14:paraId="6DC67683" w14:textId="77777777" w:rsidR="00B76266" w:rsidRPr="0008248A" w:rsidRDefault="00B76266" w:rsidP="00DD055B">
      <w:pPr>
        <w:pStyle w:val="Default"/>
        <w:spacing w:after="120"/>
        <w:rPr>
          <w:rFonts w:ascii="Verdana" w:hAnsi="Verdana" w:cstheme="minorHAnsi"/>
          <w:bCs/>
          <w:sz w:val="20"/>
          <w:szCs w:val="20"/>
          <w:lang w:val="en-GB"/>
        </w:rPr>
      </w:pPr>
    </w:p>
    <w:p w14:paraId="0AADBF99" w14:textId="19A82468" w:rsidR="00F36D78" w:rsidRPr="0008248A" w:rsidRDefault="00F36D78" w:rsidP="00F36D78">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Q1: Do you agree with the suggested approach regarding a firm’s governance and oversight in relation to its cloud outsourcing arrangements? Please explain. </w:t>
      </w:r>
    </w:p>
    <w:p w14:paraId="60FBC12A" w14:textId="2DAC10E0" w:rsidR="002309D1" w:rsidRPr="0008248A" w:rsidRDefault="00F36D78" w:rsidP="00DD055B">
      <w:pPr>
        <w:pStyle w:val="Default"/>
        <w:spacing w:after="120"/>
        <w:rPr>
          <w:rFonts w:ascii="Verdana" w:hAnsi="Verdana" w:cstheme="minorHAnsi"/>
          <w:bCs/>
          <w:color w:val="auto"/>
          <w:sz w:val="20"/>
          <w:szCs w:val="20"/>
          <w:lang w:val="en-GB"/>
        </w:rPr>
      </w:pPr>
      <w:r w:rsidRPr="0008248A">
        <w:rPr>
          <w:rFonts w:ascii="Verdana" w:hAnsi="Verdana" w:cstheme="minorHAnsi"/>
          <w:bCs/>
          <w:color w:val="auto"/>
          <w:sz w:val="20"/>
          <w:szCs w:val="20"/>
          <w:lang w:val="en-GB"/>
        </w:rPr>
        <w:t>Yes</w:t>
      </w:r>
      <w:r w:rsidR="00FB2B8D" w:rsidRPr="0008248A">
        <w:rPr>
          <w:rFonts w:ascii="Verdana" w:hAnsi="Verdana" w:cstheme="minorHAnsi"/>
          <w:bCs/>
          <w:color w:val="auto"/>
          <w:sz w:val="20"/>
          <w:szCs w:val="20"/>
          <w:lang w:val="en-GB"/>
        </w:rPr>
        <w:t xml:space="preserve">. However, in 27) a risk-based approach for monitoring is mentioned, but not further specified. If the primary focus should be on the outsourcing of critical and important functions, which risk-based approach would </w:t>
      </w:r>
      <w:r w:rsidR="0020545F" w:rsidRPr="0008248A">
        <w:rPr>
          <w:rFonts w:ascii="Verdana" w:hAnsi="Verdana" w:cstheme="minorHAnsi"/>
          <w:bCs/>
          <w:color w:val="auto"/>
          <w:sz w:val="20"/>
          <w:szCs w:val="20"/>
          <w:lang w:val="en-GB"/>
        </w:rPr>
        <w:t>be expected</w:t>
      </w:r>
      <w:r w:rsidR="00FB2B8D" w:rsidRPr="0008248A">
        <w:rPr>
          <w:rFonts w:ascii="Verdana" w:hAnsi="Verdana" w:cstheme="minorHAnsi"/>
          <w:bCs/>
          <w:color w:val="auto"/>
          <w:sz w:val="20"/>
          <w:szCs w:val="20"/>
          <w:lang w:val="en-GB"/>
        </w:rPr>
        <w:t xml:space="preserve"> for the rest?</w:t>
      </w:r>
    </w:p>
    <w:p w14:paraId="6F2722C7" w14:textId="77777777" w:rsidR="00E223D3" w:rsidRPr="0008248A" w:rsidRDefault="00E223D3" w:rsidP="00DD055B">
      <w:pPr>
        <w:pStyle w:val="Default"/>
        <w:spacing w:after="120"/>
        <w:rPr>
          <w:rFonts w:ascii="Verdana" w:hAnsi="Verdana" w:cstheme="minorHAnsi"/>
          <w:bCs/>
          <w:i/>
          <w:color w:val="auto"/>
          <w:sz w:val="20"/>
          <w:szCs w:val="20"/>
          <w:lang w:val="en-GB"/>
        </w:rPr>
      </w:pPr>
    </w:p>
    <w:p w14:paraId="3869ADB9" w14:textId="77777777" w:rsidR="00DD055B"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Q2: Do you agree with the suggested documentation requirements? Please explain. </w:t>
      </w:r>
    </w:p>
    <w:p w14:paraId="2B9A411B" w14:textId="76F0FE50" w:rsidR="00A42505" w:rsidRPr="0008248A" w:rsidRDefault="0020545F" w:rsidP="0020545F">
      <w:pPr>
        <w:pStyle w:val="Default"/>
        <w:spacing w:after="120"/>
        <w:rPr>
          <w:rFonts w:ascii="Verdana" w:hAnsi="Verdana" w:cstheme="minorHAnsi"/>
          <w:bCs/>
          <w:sz w:val="20"/>
          <w:szCs w:val="20"/>
          <w:lang w:val="en-GB"/>
        </w:rPr>
      </w:pPr>
      <w:r w:rsidRPr="0008248A">
        <w:rPr>
          <w:rFonts w:ascii="Verdana" w:hAnsi="Verdana" w:cstheme="minorHAnsi"/>
          <w:bCs/>
          <w:sz w:val="20"/>
          <w:szCs w:val="20"/>
          <w:lang w:val="en-GB"/>
        </w:rPr>
        <w:t>A</w:t>
      </w:r>
      <w:r w:rsidR="00A42505" w:rsidRPr="0008248A">
        <w:rPr>
          <w:rFonts w:ascii="Verdana" w:hAnsi="Verdana" w:cstheme="minorHAnsi"/>
          <w:bCs/>
          <w:sz w:val="20"/>
          <w:szCs w:val="20"/>
          <w:lang w:val="en-GB"/>
        </w:rPr>
        <w:t>d 28 &amp; 29) the register should contain the same information as for Outsourcing for credit institutions</w:t>
      </w:r>
      <w:r w:rsidRPr="0008248A">
        <w:rPr>
          <w:rFonts w:ascii="Verdana" w:hAnsi="Verdana" w:cstheme="minorHAnsi"/>
          <w:bCs/>
          <w:sz w:val="20"/>
          <w:szCs w:val="20"/>
          <w:lang w:val="en-GB"/>
        </w:rPr>
        <w:t xml:space="preserve"> as per the EBA Outsourcing Guidelines</w:t>
      </w:r>
      <w:r w:rsidR="00A42505" w:rsidRPr="0008248A">
        <w:rPr>
          <w:rFonts w:ascii="Verdana" w:hAnsi="Verdana" w:cstheme="minorHAnsi"/>
          <w:bCs/>
          <w:sz w:val="20"/>
          <w:szCs w:val="20"/>
          <w:lang w:val="en-GB"/>
        </w:rPr>
        <w:t xml:space="preserve">. Firms / </w:t>
      </w:r>
      <w:r w:rsidRPr="0008248A">
        <w:rPr>
          <w:rFonts w:ascii="Verdana" w:hAnsi="Verdana" w:cstheme="minorHAnsi"/>
          <w:bCs/>
          <w:sz w:val="20"/>
          <w:szCs w:val="20"/>
          <w:lang w:val="en-GB"/>
        </w:rPr>
        <w:t xml:space="preserve">banking </w:t>
      </w:r>
      <w:r w:rsidR="00A42505" w:rsidRPr="0008248A">
        <w:rPr>
          <w:rFonts w:ascii="Verdana" w:hAnsi="Verdana" w:cstheme="minorHAnsi"/>
          <w:bCs/>
          <w:sz w:val="20"/>
          <w:szCs w:val="20"/>
          <w:lang w:val="en-GB"/>
        </w:rPr>
        <w:t>groups have invested and migrated heavily in the past month</w:t>
      </w:r>
      <w:r w:rsidRPr="0008248A">
        <w:rPr>
          <w:rFonts w:ascii="Verdana" w:hAnsi="Verdana" w:cstheme="minorHAnsi"/>
          <w:bCs/>
          <w:sz w:val="20"/>
          <w:szCs w:val="20"/>
          <w:lang w:val="en-GB"/>
        </w:rPr>
        <w:t>s</w:t>
      </w:r>
      <w:r w:rsidR="00A42505" w:rsidRPr="0008248A">
        <w:rPr>
          <w:rFonts w:ascii="Verdana" w:hAnsi="Verdana" w:cstheme="minorHAnsi"/>
          <w:bCs/>
          <w:sz w:val="20"/>
          <w:szCs w:val="20"/>
          <w:lang w:val="en-GB"/>
        </w:rPr>
        <w:t xml:space="preserve"> and re-using it for security subsidiaries / customers would be beneficial. A simple reference to the </w:t>
      </w:r>
      <w:r w:rsidRPr="0008248A">
        <w:rPr>
          <w:rFonts w:ascii="Verdana" w:hAnsi="Verdana" w:cstheme="minorHAnsi"/>
          <w:bCs/>
          <w:sz w:val="20"/>
          <w:szCs w:val="20"/>
          <w:lang w:val="en-GB"/>
        </w:rPr>
        <w:t xml:space="preserve">EBA </w:t>
      </w:r>
      <w:r w:rsidR="00A42505" w:rsidRPr="0008248A">
        <w:rPr>
          <w:rFonts w:ascii="Verdana" w:hAnsi="Verdana" w:cstheme="minorHAnsi"/>
          <w:bCs/>
          <w:sz w:val="20"/>
          <w:szCs w:val="20"/>
          <w:lang w:val="en-GB"/>
        </w:rPr>
        <w:t>Outsourcing Guidelines for credit institutions would</w:t>
      </w:r>
      <w:r w:rsidRPr="0008248A">
        <w:rPr>
          <w:rFonts w:ascii="Verdana" w:hAnsi="Verdana" w:cstheme="minorHAnsi"/>
          <w:bCs/>
          <w:sz w:val="20"/>
          <w:szCs w:val="20"/>
          <w:lang w:val="en-GB"/>
        </w:rPr>
        <w:t xml:space="preserve"> suffice. </w:t>
      </w:r>
    </w:p>
    <w:p w14:paraId="134A868D" w14:textId="3BC3B406" w:rsidR="00B90C7C" w:rsidRPr="0008248A" w:rsidRDefault="00B90C7C" w:rsidP="00DD055B">
      <w:pPr>
        <w:pStyle w:val="Default"/>
        <w:spacing w:after="120"/>
        <w:rPr>
          <w:rFonts w:ascii="Verdana" w:hAnsi="Verdana" w:cstheme="minorHAnsi"/>
          <w:sz w:val="20"/>
          <w:szCs w:val="20"/>
          <w:lang w:val="en-GB"/>
        </w:rPr>
      </w:pPr>
    </w:p>
    <w:p w14:paraId="2A987B75" w14:textId="77777777" w:rsidR="006236F6" w:rsidRPr="0008248A" w:rsidRDefault="006236F6" w:rsidP="006236F6">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Q3: Do you agree with the suggested approach regarding the pre-outsourcing analysis and due</w:t>
      </w:r>
      <w:r w:rsidRPr="0008248A">
        <w:rPr>
          <w:rFonts w:ascii="Verdana" w:hAnsi="Verdana" w:cstheme="minorHAnsi"/>
          <w:bCs/>
          <w:sz w:val="20"/>
          <w:szCs w:val="20"/>
          <w:lang w:val="en-GB"/>
        </w:rPr>
        <w:t xml:space="preserve"> </w:t>
      </w:r>
      <w:r w:rsidRPr="0008248A">
        <w:rPr>
          <w:rFonts w:ascii="Verdana" w:hAnsi="Verdana" w:cstheme="minorHAnsi"/>
          <w:bCs/>
          <w:i/>
          <w:sz w:val="20"/>
          <w:szCs w:val="20"/>
          <w:lang w:val="en-GB"/>
        </w:rPr>
        <w:t xml:space="preserve">diligence to be undertaken by a firm on its CSP? Please explain. </w:t>
      </w:r>
    </w:p>
    <w:p w14:paraId="5DAA3E14" w14:textId="00CCE457" w:rsidR="00A42505" w:rsidRPr="0008248A" w:rsidRDefault="006236F6" w:rsidP="00DD055B">
      <w:pPr>
        <w:pStyle w:val="Default"/>
        <w:spacing w:after="120"/>
        <w:rPr>
          <w:rFonts w:ascii="Verdana" w:hAnsi="Verdana" w:cstheme="minorHAnsi"/>
          <w:bCs/>
          <w:color w:val="auto"/>
          <w:sz w:val="20"/>
          <w:szCs w:val="20"/>
          <w:lang w:val="en-GB"/>
        </w:rPr>
      </w:pPr>
      <w:r w:rsidRPr="0008248A">
        <w:rPr>
          <w:rFonts w:ascii="Verdana" w:hAnsi="Verdana" w:cstheme="minorHAnsi"/>
          <w:bCs/>
          <w:color w:val="auto"/>
          <w:sz w:val="20"/>
          <w:szCs w:val="20"/>
          <w:lang w:val="en-GB"/>
        </w:rPr>
        <w:t>Yes. However, 35) needs to be specified in terms of which certifications would be deemed appropriate.</w:t>
      </w:r>
    </w:p>
    <w:p w14:paraId="388D2718" w14:textId="77777777" w:rsidR="00766DD4" w:rsidRPr="0008248A" w:rsidRDefault="00766DD4" w:rsidP="00DD055B">
      <w:pPr>
        <w:pStyle w:val="Default"/>
        <w:spacing w:after="120"/>
        <w:rPr>
          <w:rFonts w:ascii="Verdana" w:hAnsi="Verdana" w:cstheme="minorHAnsi"/>
          <w:bCs/>
          <w:i/>
          <w:sz w:val="20"/>
          <w:szCs w:val="20"/>
          <w:lang w:val="en-GB"/>
        </w:rPr>
      </w:pPr>
    </w:p>
    <w:p w14:paraId="399C1A6D" w14:textId="3119743D" w:rsidR="00D05559"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Q4: Do you agree with the proposed contractual requirements? Please explain. </w:t>
      </w:r>
    </w:p>
    <w:p w14:paraId="24B58C69" w14:textId="1C1FBD8D" w:rsidR="00A42505" w:rsidRPr="0008248A" w:rsidRDefault="00257775" w:rsidP="00257775">
      <w:pPr>
        <w:pStyle w:val="Default"/>
        <w:spacing w:after="120"/>
        <w:rPr>
          <w:rFonts w:ascii="Verdana" w:hAnsi="Verdana" w:cstheme="minorHAnsi"/>
          <w:sz w:val="20"/>
          <w:szCs w:val="20"/>
          <w:lang w:val="en-GB"/>
        </w:rPr>
      </w:pPr>
      <w:r w:rsidRPr="0008248A">
        <w:rPr>
          <w:rFonts w:ascii="Verdana" w:hAnsi="Verdana" w:cstheme="minorHAnsi"/>
          <w:sz w:val="20"/>
          <w:szCs w:val="20"/>
          <w:lang w:val="en-GB"/>
        </w:rPr>
        <w:lastRenderedPageBreak/>
        <w:t>Generally, we believe that i</w:t>
      </w:r>
      <w:r w:rsidR="00A42505" w:rsidRPr="0008248A">
        <w:rPr>
          <w:rFonts w:ascii="Verdana" w:hAnsi="Verdana" w:cstheme="minorHAnsi"/>
          <w:sz w:val="20"/>
          <w:szCs w:val="20"/>
          <w:lang w:val="en-GB"/>
        </w:rPr>
        <w:t>nstead of providing a prescriptive set of what needs to be included in a contract, SCCs would have been a better approach for CSPs and firms.</w:t>
      </w:r>
    </w:p>
    <w:p w14:paraId="2A2F1A77" w14:textId="5E42BAE8" w:rsidR="00D05559" w:rsidRPr="0008248A" w:rsidRDefault="00257775" w:rsidP="00257775">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Concerning point 41.f) we would like to point out that l</w:t>
      </w:r>
      <w:r w:rsidR="00A42505" w:rsidRPr="0008248A">
        <w:rPr>
          <w:rFonts w:ascii="Verdana" w:hAnsi="Verdana" w:cstheme="minorHAnsi"/>
          <w:sz w:val="20"/>
          <w:szCs w:val="20"/>
          <w:lang w:val="en-GB"/>
        </w:rPr>
        <w:t>isting the countries where the CPSs’ data cent</w:t>
      </w:r>
      <w:r w:rsidRPr="0008248A">
        <w:rPr>
          <w:rFonts w:ascii="Verdana" w:hAnsi="Verdana" w:cstheme="minorHAnsi"/>
          <w:sz w:val="20"/>
          <w:szCs w:val="20"/>
          <w:lang w:val="en-GB"/>
        </w:rPr>
        <w:t>r</w:t>
      </w:r>
      <w:r w:rsidR="00A42505" w:rsidRPr="0008248A">
        <w:rPr>
          <w:rFonts w:ascii="Verdana" w:hAnsi="Verdana" w:cstheme="minorHAnsi"/>
          <w:sz w:val="20"/>
          <w:szCs w:val="20"/>
          <w:lang w:val="en-GB"/>
        </w:rPr>
        <w:t>es reside will not be sufficient to cover ‘storing and processing’ of data.</w:t>
      </w:r>
    </w:p>
    <w:p w14:paraId="44D41573" w14:textId="3A53EEF1" w:rsidR="00257775" w:rsidRPr="0008248A" w:rsidRDefault="00257775" w:rsidP="00257775">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On a more general note, the requirements of Guideline 3 might be quite hard to implement for certain outsourcing activities. Especially when engaging with large CSP like AWS and Azure, they offer standard services and might not always enter into details and negotiate every aspect of the service. Even though the standard service covers most of the aspects expected by the Guideline 3, they are not tailored to the needs of the firm outsourcing the service.</w:t>
      </w:r>
    </w:p>
    <w:p w14:paraId="5DFD0DFD" w14:textId="77777777" w:rsidR="00A42505" w:rsidRPr="0008248A" w:rsidRDefault="00A42505" w:rsidP="00DD055B">
      <w:pPr>
        <w:pStyle w:val="Default"/>
        <w:spacing w:after="120"/>
        <w:rPr>
          <w:rFonts w:ascii="Verdana" w:hAnsi="Verdana" w:cstheme="minorHAnsi"/>
          <w:sz w:val="20"/>
          <w:szCs w:val="20"/>
          <w:lang w:val="en-GB"/>
        </w:rPr>
      </w:pPr>
    </w:p>
    <w:p w14:paraId="7F2A6F1B" w14:textId="34AE9FA4" w:rsidR="00DD055B"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Q5: Do you agree with the suggested approach regarding information security? Please explain. </w:t>
      </w:r>
    </w:p>
    <w:p w14:paraId="16B20E0F" w14:textId="77777777" w:rsidR="00DD52B3" w:rsidRPr="0008248A" w:rsidRDefault="00DD52B3" w:rsidP="00DD52B3">
      <w:pPr>
        <w:pStyle w:val="Default"/>
        <w:spacing w:after="120"/>
        <w:rPr>
          <w:rFonts w:ascii="Verdana" w:hAnsi="Verdana" w:cstheme="minorHAnsi"/>
          <w:color w:val="auto"/>
          <w:sz w:val="20"/>
          <w:szCs w:val="20"/>
          <w:lang w:val="en-GB"/>
        </w:rPr>
      </w:pPr>
      <w:bookmarkStart w:id="0" w:name="_Hlk48212238"/>
      <w:r w:rsidRPr="0008248A">
        <w:rPr>
          <w:rFonts w:ascii="Verdana" w:hAnsi="Verdana" w:cstheme="minorHAnsi"/>
          <w:color w:val="auto"/>
          <w:sz w:val="20"/>
          <w:szCs w:val="20"/>
          <w:lang w:val="en-GB"/>
        </w:rPr>
        <w:t xml:space="preserve">Generally, yes. </w:t>
      </w:r>
    </w:p>
    <w:bookmarkEnd w:id="0"/>
    <w:p w14:paraId="4A2DF5CD" w14:textId="72AA9F66" w:rsidR="00A42505" w:rsidRPr="0008248A" w:rsidRDefault="00766DD4" w:rsidP="00DD52B3">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Ad 43</w:t>
      </w:r>
      <w:r w:rsidR="00DD52B3" w:rsidRPr="0008248A">
        <w:rPr>
          <w:rFonts w:ascii="Verdana" w:hAnsi="Verdana" w:cstheme="minorHAnsi"/>
          <w:color w:val="auto"/>
          <w:sz w:val="20"/>
          <w:szCs w:val="20"/>
          <w:lang w:val="en-GB"/>
        </w:rPr>
        <w:t>.</w:t>
      </w:r>
      <w:r w:rsidRPr="0008248A">
        <w:rPr>
          <w:rFonts w:ascii="Verdana" w:hAnsi="Verdana" w:cstheme="minorHAnsi"/>
          <w:color w:val="auto"/>
          <w:sz w:val="20"/>
          <w:szCs w:val="20"/>
          <w:lang w:val="en-GB"/>
        </w:rPr>
        <w:t>c) Please provide more examples for appropriate key management solutions. Preventing the CSP from storing and managing encryption keys is not covering all types of cloud solutions nor is it probable that big CSPs would accept additional contractual conditions for separation of duties between key management and operations, if these aren’t already covered by their standard contractual templates for standardized cloud solutions (e.g. within public clouds).</w:t>
      </w:r>
    </w:p>
    <w:p w14:paraId="2A34754A" w14:textId="77777777" w:rsidR="00DD52B3" w:rsidRPr="0008248A" w:rsidRDefault="00DD52B3" w:rsidP="00DD52B3">
      <w:pPr>
        <w:pStyle w:val="Default"/>
        <w:spacing w:after="120"/>
        <w:rPr>
          <w:rFonts w:ascii="Verdana" w:hAnsi="Verdana" w:cstheme="minorHAnsi"/>
          <w:sz w:val="20"/>
          <w:szCs w:val="20"/>
          <w:lang w:val="en-GB"/>
        </w:rPr>
      </w:pPr>
    </w:p>
    <w:p w14:paraId="0D6D62B5" w14:textId="77777777" w:rsidR="00900F16" w:rsidRPr="0008248A" w:rsidRDefault="00900F16" w:rsidP="00900F16">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Q6: Do you agree with the suggested approach regarding exit strategies? Please explain. </w:t>
      </w:r>
    </w:p>
    <w:p w14:paraId="6087B3F0" w14:textId="77777777" w:rsidR="00DD52B3" w:rsidRPr="0008248A" w:rsidRDefault="00DD52B3" w:rsidP="00DD52B3">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 xml:space="preserve">Generally, yes. </w:t>
      </w:r>
    </w:p>
    <w:p w14:paraId="28595FE6" w14:textId="73D321DB" w:rsidR="00DD52B3" w:rsidRPr="0008248A" w:rsidRDefault="00DD52B3" w:rsidP="00DD52B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 xml:space="preserve">Ad 44.a) “Testing” the Exit Plan will not work in many cases. This would be too expensive, risky and time-consuming. </w:t>
      </w:r>
    </w:p>
    <w:p w14:paraId="05C6B6F0" w14:textId="5FB3A772" w:rsidR="00736745" w:rsidRPr="0008248A" w:rsidRDefault="00736745" w:rsidP="00DD52B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 xml:space="preserve">Ad 44.c) </w:t>
      </w:r>
      <w:r w:rsidR="001942FD" w:rsidRPr="0008248A">
        <w:rPr>
          <w:rFonts w:ascii="Verdana" w:hAnsi="Verdana" w:cstheme="minorHAnsi"/>
          <w:sz w:val="20"/>
          <w:szCs w:val="20"/>
          <w:lang w:val="en-GB"/>
        </w:rPr>
        <w:t xml:space="preserve">This </w:t>
      </w:r>
      <w:r w:rsidRPr="0008248A">
        <w:rPr>
          <w:rFonts w:ascii="Verdana" w:hAnsi="Verdana" w:cstheme="minorHAnsi"/>
          <w:sz w:val="20"/>
          <w:szCs w:val="20"/>
          <w:lang w:val="en-GB"/>
        </w:rPr>
        <w:t>is</w:t>
      </w:r>
      <w:r w:rsidR="001942FD" w:rsidRPr="0008248A">
        <w:rPr>
          <w:rFonts w:ascii="Verdana" w:hAnsi="Verdana" w:cstheme="minorHAnsi"/>
          <w:sz w:val="20"/>
          <w:szCs w:val="20"/>
          <w:lang w:val="en-GB"/>
        </w:rPr>
        <w:t xml:space="preserve"> generally</w:t>
      </w:r>
      <w:r w:rsidRPr="0008248A">
        <w:rPr>
          <w:rFonts w:ascii="Verdana" w:hAnsi="Verdana" w:cstheme="minorHAnsi"/>
          <w:sz w:val="20"/>
          <w:szCs w:val="20"/>
          <w:lang w:val="en-GB"/>
        </w:rPr>
        <w:t xml:space="preserve"> not part of the standard service of AWS and Azure</w:t>
      </w:r>
      <w:r w:rsidR="001942FD" w:rsidRPr="0008248A">
        <w:rPr>
          <w:rFonts w:ascii="Verdana" w:hAnsi="Verdana" w:cstheme="minorHAnsi"/>
          <w:sz w:val="20"/>
          <w:szCs w:val="20"/>
          <w:lang w:val="en-GB"/>
        </w:rPr>
        <w:t xml:space="preserve"> and might be</w:t>
      </w:r>
      <w:r w:rsidRPr="0008248A">
        <w:rPr>
          <w:rFonts w:ascii="Verdana" w:hAnsi="Verdana" w:cstheme="minorHAnsi"/>
          <w:sz w:val="20"/>
          <w:szCs w:val="20"/>
          <w:lang w:val="en-GB"/>
        </w:rPr>
        <w:t xml:space="preserve"> hard to impose</w:t>
      </w:r>
      <w:r w:rsidRPr="00B76266">
        <w:rPr>
          <w:rFonts w:ascii="Verdana" w:hAnsi="Verdana" w:cstheme="minorHAnsi"/>
          <w:sz w:val="20"/>
          <w:szCs w:val="20"/>
          <w:lang w:val="en-GB"/>
        </w:rPr>
        <w:t xml:space="preserve">. </w:t>
      </w:r>
      <w:r w:rsidR="00B76266" w:rsidRPr="00B76266">
        <w:rPr>
          <w:rFonts w:ascii="Verdana" w:hAnsi="Verdana" w:cstheme="minorHAnsi"/>
          <w:sz w:val="20"/>
          <w:szCs w:val="20"/>
          <w:lang w:val="en-GB"/>
        </w:rPr>
        <w:t xml:space="preserve">Operators like AWS, MS Azure and Google Cloud Platform cannot perform the exit on behalf of the customer, because they have no contractual </w:t>
      </w:r>
      <w:bookmarkStart w:id="1" w:name="_GoBack"/>
      <w:bookmarkEnd w:id="1"/>
      <w:r w:rsidR="00B76266" w:rsidRPr="00B76266">
        <w:rPr>
          <w:rFonts w:ascii="Verdana" w:hAnsi="Verdana" w:cstheme="minorHAnsi"/>
          <w:sz w:val="20"/>
          <w:szCs w:val="20"/>
          <w:lang w:val="en-GB"/>
        </w:rPr>
        <w:t>arrangement with any other CSP. Realistically, any obligations can only concern a transfer of the data back to the customer (and to proceed with 44 b).</w:t>
      </w:r>
    </w:p>
    <w:p w14:paraId="4B838056" w14:textId="77777777" w:rsidR="00687EF2" w:rsidRPr="0008248A" w:rsidRDefault="00687EF2" w:rsidP="00DD055B">
      <w:pPr>
        <w:pStyle w:val="Default"/>
        <w:spacing w:after="120"/>
        <w:rPr>
          <w:rFonts w:ascii="Verdana" w:hAnsi="Verdana" w:cstheme="minorHAnsi"/>
          <w:sz w:val="20"/>
          <w:szCs w:val="20"/>
          <w:lang w:val="en-GB"/>
        </w:rPr>
      </w:pPr>
    </w:p>
    <w:p w14:paraId="6C1D1136" w14:textId="77777777" w:rsidR="00DD055B"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Q7: Do you agree with the suggested approach regarding access and audit rights? Please explain. </w:t>
      </w:r>
    </w:p>
    <w:p w14:paraId="272F0A46" w14:textId="77777777" w:rsidR="001942FD" w:rsidRPr="0008248A" w:rsidRDefault="00282EDC" w:rsidP="001942FD">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 xml:space="preserve">No. </w:t>
      </w:r>
    </w:p>
    <w:p w14:paraId="3608C36D" w14:textId="77777777" w:rsidR="001942FD" w:rsidRPr="0008248A" w:rsidRDefault="001942FD" w:rsidP="001942FD">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The differentiation between “access” and “audit” is unclear. Access without audit right makes no sense and vice versa. Instead state that any “audit right” includes “access right”.</w:t>
      </w:r>
    </w:p>
    <w:p w14:paraId="28A011C0" w14:textId="44337EE1" w:rsidR="00282EDC" w:rsidRPr="0008248A" w:rsidRDefault="001942FD" w:rsidP="001942FD">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 xml:space="preserve">Points </w:t>
      </w:r>
      <w:r w:rsidR="00282EDC" w:rsidRPr="0008248A">
        <w:rPr>
          <w:rFonts w:ascii="Verdana" w:hAnsi="Verdana" w:cstheme="minorHAnsi"/>
          <w:color w:val="auto"/>
          <w:sz w:val="20"/>
          <w:szCs w:val="20"/>
          <w:lang w:val="en-GB"/>
        </w:rPr>
        <w:t xml:space="preserve">50) ff </w:t>
      </w:r>
      <w:r w:rsidRPr="0008248A">
        <w:rPr>
          <w:rFonts w:ascii="Verdana" w:hAnsi="Verdana" w:cstheme="minorHAnsi"/>
          <w:color w:val="auto"/>
          <w:sz w:val="20"/>
          <w:szCs w:val="20"/>
          <w:lang w:val="en-GB"/>
        </w:rPr>
        <w:t>are</w:t>
      </w:r>
      <w:r w:rsidR="00282EDC" w:rsidRPr="0008248A">
        <w:rPr>
          <w:rFonts w:ascii="Verdana" w:hAnsi="Verdana" w:cstheme="minorHAnsi"/>
          <w:color w:val="auto"/>
          <w:sz w:val="20"/>
          <w:szCs w:val="20"/>
          <w:lang w:val="en-GB"/>
        </w:rPr>
        <w:t xml:space="preserve"> in principle imposing the whole responsibility to each and every company to assess if provided certifications, etc. are appropriate to ensure proper auditing. As outlined above and regarding </w:t>
      </w:r>
      <w:r w:rsidRPr="0008248A">
        <w:rPr>
          <w:rFonts w:ascii="Verdana" w:hAnsi="Verdana" w:cstheme="minorHAnsi"/>
          <w:color w:val="auto"/>
          <w:sz w:val="20"/>
          <w:szCs w:val="20"/>
          <w:lang w:val="en-GB"/>
        </w:rPr>
        <w:t xml:space="preserve">point </w:t>
      </w:r>
      <w:r w:rsidR="00282EDC" w:rsidRPr="0008248A">
        <w:rPr>
          <w:rFonts w:ascii="Verdana" w:hAnsi="Verdana" w:cstheme="minorHAnsi"/>
          <w:color w:val="auto"/>
          <w:sz w:val="20"/>
          <w:szCs w:val="20"/>
          <w:lang w:val="en-GB"/>
        </w:rPr>
        <w:t>35), the Guidelines should provide a list of international certificates that are deemed proper to cover processes, applications, infrastructure, data centers.</w:t>
      </w:r>
    </w:p>
    <w:p w14:paraId="331EB8FB" w14:textId="681DDA76" w:rsidR="001942FD" w:rsidRPr="0008248A" w:rsidRDefault="001942FD" w:rsidP="001942FD">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 xml:space="preserve">In point 50a) the wording “may use” (certifications etc) for non-critical outsourcings: does that mean certifications etc will </w:t>
      </w:r>
      <w:r w:rsidRPr="0008248A">
        <w:rPr>
          <w:rFonts w:ascii="Verdana" w:hAnsi="Verdana" w:cstheme="minorHAnsi"/>
          <w:i/>
          <w:iCs/>
          <w:color w:val="auto"/>
          <w:sz w:val="20"/>
          <w:szCs w:val="20"/>
          <w:lang w:val="en-GB"/>
        </w:rPr>
        <w:t>replace</w:t>
      </w:r>
      <w:r w:rsidRPr="0008248A">
        <w:rPr>
          <w:rFonts w:ascii="Verdana" w:hAnsi="Verdana" w:cstheme="minorHAnsi"/>
          <w:color w:val="auto"/>
          <w:sz w:val="20"/>
          <w:szCs w:val="20"/>
          <w:lang w:val="en-GB"/>
        </w:rPr>
        <w:t xml:space="preserve"> further audit activities? </w:t>
      </w:r>
    </w:p>
    <w:p w14:paraId="095D4EE9" w14:textId="0C1EBB3C" w:rsidR="00687EF2" w:rsidRPr="0008248A" w:rsidRDefault="00282EDC" w:rsidP="001942FD">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lastRenderedPageBreak/>
        <w:t>51f) seems not feasible to be handled with on the individual company level.</w:t>
      </w:r>
    </w:p>
    <w:p w14:paraId="7C43CBB5" w14:textId="77777777" w:rsidR="00687EF2" w:rsidRPr="0008248A" w:rsidRDefault="00687EF2" w:rsidP="00DD055B">
      <w:pPr>
        <w:pStyle w:val="Default"/>
        <w:spacing w:after="120"/>
        <w:rPr>
          <w:rFonts w:ascii="Verdana" w:hAnsi="Verdana" w:cstheme="minorHAnsi"/>
          <w:sz w:val="20"/>
          <w:szCs w:val="20"/>
          <w:lang w:val="en-GB"/>
        </w:rPr>
      </w:pPr>
    </w:p>
    <w:p w14:paraId="17774274" w14:textId="63B3F225" w:rsidR="00DD055B"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Q8: Do you agree with the suggested approach regarding sub-outsourcing? Please explain. </w:t>
      </w:r>
    </w:p>
    <w:p w14:paraId="3C7E822B" w14:textId="752A0ED0" w:rsidR="000A7D3A" w:rsidRPr="0008248A" w:rsidRDefault="00F46F23" w:rsidP="00F46F2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As regards point</w:t>
      </w:r>
      <w:r w:rsidR="000A7D3A" w:rsidRPr="0008248A">
        <w:rPr>
          <w:rFonts w:ascii="Verdana" w:hAnsi="Verdana" w:cstheme="minorHAnsi"/>
          <w:sz w:val="20"/>
          <w:szCs w:val="20"/>
          <w:lang w:val="en-GB"/>
        </w:rPr>
        <w:t xml:space="preserve"> 55</w:t>
      </w:r>
      <w:r w:rsidRPr="0008248A">
        <w:rPr>
          <w:rFonts w:ascii="Verdana" w:hAnsi="Verdana" w:cstheme="minorHAnsi"/>
          <w:sz w:val="20"/>
          <w:szCs w:val="20"/>
          <w:lang w:val="en-GB"/>
        </w:rPr>
        <w:t>.3, h</w:t>
      </w:r>
      <w:r w:rsidR="000A7D3A" w:rsidRPr="0008248A">
        <w:rPr>
          <w:rFonts w:ascii="Verdana" w:hAnsi="Verdana" w:cstheme="minorHAnsi"/>
          <w:sz w:val="20"/>
          <w:szCs w:val="20"/>
          <w:lang w:val="en-GB"/>
        </w:rPr>
        <w:t>aving the right to object a material subcontractor does not reflect ‘real life’ (although it is a long-term supervisory requirement). None of the CSPs could grant this right without jeopardizing their business. Instead of objecting, the firm should be informed in time and have the right to terminate the contract.</w:t>
      </w:r>
    </w:p>
    <w:p w14:paraId="53B40707" w14:textId="77777777" w:rsidR="000A7D3A" w:rsidRPr="0008248A" w:rsidRDefault="000A7D3A" w:rsidP="00DD055B">
      <w:pPr>
        <w:pStyle w:val="Default"/>
        <w:spacing w:after="120"/>
        <w:rPr>
          <w:rFonts w:ascii="Verdana" w:hAnsi="Verdana" w:cstheme="minorHAnsi"/>
          <w:sz w:val="20"/>
          <w:szCs w:val="20"/>
          <w:lang w:val="en-GB"/>
        </w:rPr>
      </w:pPr>
    </w:p>
    <w:p w14:paraId="7E06C6BE" w14:textId="11533EA5" w:rsidR="00E65857"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Q9: Do you agree with the suggested notification requirements to competent authorities? Please</w:t>
      </w:r>
      <w:r w:rsidRPr="0008248A">
        <w:rPr>
          <w:rFonts w:ascii="Verdana" w:hAnsi="Verdana" w:cstheme="minorHAnsi"/>
          <w:bCs/>
          <w:sz w:val="20"/>
          <w:szCs w:val="20"/>
          <w:lang w:val="en-GB"/>
        </w:rPr>
        <w:t xml:space="preserve"> </w:t>
      </w:r>
      <w:r w:rsidRPr="0008248A">
        <w:rPr>
          <w:rFonts w:ascii="Verdana" w:hAnsi="Verdana" w:cstheme="minorHAnsi"/>
          <w:bCs/>
          <w:i/>
          <w:sz w:val="20"/>
          <w:szCs w:val="20"/>
          <w:lang w:val="en-GB"/>
        </w:rPr>
        <w:t xml:space="preserve">explain. </w:t>
      </w:r>
    </w:p>
    <w:p w14:paraId="4189D14E" w14:textId="4D75BC34" w:rsidR="00B90C7C" w:rsidRPr="0008248A" w:rsidRDefault="00F46F23" w:rsidP="00F46F23">
      <w:pPr>
        <w:pStyle w:val="Default"/>
        <w:spacing w:after="120"/>
        <w:rPr>
          <w:rFonts w:ascii="Verdana" w:hAnsi="Verdana" w:cstheme="minorHAnsi"/>
          <w:sz w:val="20"/>
          <w:szCs w:val="20"/>
          <w:lang w:val="en-GB"/>
        </w:rPr>
      </w:pPr>
      <w:r w:rsidRPr="0008248A">
        <w:rPr>
          <w:rFonts w:ascii="Verdana" w:hAnsi="Verdana" w:cstheme="minorHAnsi"/>
          <w:color w:val="auto"/>
          <w:sz w:val="20"/>
          <w:szCs w:val="20"/>
          <w:lang w:val="en-GB"/>
        </w:rPr>
        <w:t>Generally, y</w:t>
      </w:r>
      <w:r w:rsidR="00C57FC6" w:rsidRPr="0008248A">
        <w:rPr>
          <w:rFonts w:ascii="Verdana" w:hAnsi="Verdana" w:cstheme="minorHAnsi"/>
          <w:color w:val="auto"/>
          <w:sz w:val="20"/>
          <w:szCs w:val="20"/>
          <w:lang w:val="en-GB"/>
        </w:rPr>
        <w:t>es.</w:t>
      </w:r>
      <w:r w:rsidRPr="0008248A">
        <w:rPr>
          <w:rFonts w:ascii="Verdana" w:hAnsi="Verdana" w:cstheme="minorHAnsi"/>
          <w:color w:val="auto"/>
          <w:sz w:val="20"/>
          <w:szCs w:val="20"/>
          <w:lang w:val="en-GB"/>
        </w:rPr>
        <w:t xml:space="preserve"> However, we believe that G</w:t>
      </w:r>
      <w:r w:rsidR="000A7D3A" w:rsidRPr="0008248A">
        <w:rPr>
          <w:rFonts w:ascii="Verdana" w:hAnsi="Verdana" w:cstheme="minorHAnsi"/>
          <w:color w:val="auto"/>
          <w:sz w:val="20"/>
          <w:szCs w:val="20"/>
          <w:lang w:val="en-GB"/>
        </w:rPr>
        <w:t xml:space="preserve">uideline </w:t>
      </w:r>
      <w:r w:rsidR="000A7D3A" w:rsidRPr="0008248A">
        <w:rPr>
          <w:rFonts w:ascii="Verdana" w:hAnsi="Verdana" w:cstheme="minorHAnsi"/>
          <w:sz w:val="20"/>
          <w:szCs w:val="20"/>
          <w:lang w:val="en-GB"/>
        </w:rPr>
        <w:t xml:space="preserve">8 should </w:t>
      </w:r>
      <w:r w:rsidRPr="0008248A">
        <w:rPr>
          <w:rFonts w:ascii="Verdana" w:hAnsi="Verdana" w:cstheme="minorHAnsi"/>
          <w:sz w:val="20"/>
          <w:szCs w:val="20"/>
          <w:lang w:val="en-GB"/>
        </w:rPr>
        <w:t xml:space="preserve">also </w:t>
      </w:r>
      <w:r w:rsidR="000A7D3A" w:rsidRPr="0008248A">
        <w:rPr>
          <w:rFonts w:ascii="Verdana" w:hAnsi="Verdana" w:cstheme="minorHAnsi"/>
          <w:sz w:val="20"/>
          <w:szCs w:val="20"/>
          <w:lang w:val="en-GB"/>
        </w:rPr>
        <w:t>be addressed to competent authorities</w:t>
      </w:r>
      <w:r w:rsidRPr="0008248A">
        <w:rPr>
          <w:rFonts w:ascii="Verdana" w:hAnsi="Verdana" w:cstheme="minorHAnsi"/>
          <w:sz w:val="20"/>
          <w:szCs w:val="20"/>
          <w:lang w:val="en-GB"/>
        </w:rPr>
        <w:t xml:space="preserve"> as the</w:t>
      </w:r>
      <w:r w:rsidR="000A7D3A" w:rsidRPr="0008248A">
        <w:rPr>
          <w:rFonts w:ascii="Verdana" w:hAnsi="Verdana" w:cstheme="minorHAnsi"/>
          <w:sz w:val="20"/>
          <w:szCs w:val="20"/>
          <w:lang w:val="en-GB"/>
        </w:rPr>
        <w:t xml:space="preserve"> CA should set the provisions for notifications, provide the templates etc.</w:t>
      </w:r>
    </w:p>
    <w:p w14:paraId="5F8E087B" w14:textId="77777777" w:rsidR="00C57FC6" w:rsidRPr="0008248A" w:rsidRDefault="00C57FC6" w:rsidP="00C57FC6">
      <w:pPr>
        <w:pStyle w:val="Default"/>
        <w:spacing w:after="120"/>
        <w:rPr>
          <w:rFonts w:ascii="Verdana" w:hAnsi="Verdana" w:cstheme="minorHAnsi"/>
          <w:bCs/>
          <w:i/>
          <w:sz w:val="20"/>
          <w:szCs w:val="20"/>
          <w:lang w:val="en-GB"/>
        </w:rPr>
      </w:pPr>
    </w:p>
    <w:p w14:paraId="16639299" w14:textId="77777777" w:rsidR="00F11566" w:rsidRPr="0008248A" w:rsidRDefault="00F11566" w:rsidP="00F11566">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Q10: Do you agree with the suggested approach regarding the supervision of cloud outsourcing</w:t>
      </w:r>
      <w:r w:rsidRPr="0008248A">
        <w:rPr>
          <w:rFonts w:ascii="Verdana" w:hAnsi="Verdana" w:cstheme="minorHAnsi"/>
          <w:bCs/>
          <w:sz w:val="20"/>
          <w:szCs w:val="20"/>
          <w:lang w:val="en-GB"/>
        </w:rPr>
        <w:t xml:space="preserve"> </w:t>
      </w:r>
      <w:r w:rsidRPr="0008248A">
        <w:rPr>
          <w:rFonts w:ascii="Verdana" w:hAnsi="Verdana" w:cstheme="minorHAnsi"/>
          <w:bCs/>
          <w:i/>
          <w:sz w:val="20"/>
          <w:szCs w:val="20"/>
          <w:lang w:val="en-GB"/>
        </w:rPr>
        <w:t xml:space="preserve">arrangements by competent authorities? Please explain. </w:t>
      </w:r>
    </w:p>
    <w:p w14:paraId="287AE73B" w14:textId="38C1EE68" w:rsidR="00C57FC6" w:rsidRPr="0008248A" w:rsidRDefault="00C57FC6" w:rsidP="00F46F23">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Yes</w:t>
      </w:r>
      <w:r w:rsidR="00F46F23" w:rsidRPr="0008248A">
        <w:rPr>
          <w:rFonts w:ascii="Verdana" w:hAnsi="Verdana" w:cstheme="minorHAnsi"/>
          <w:color w:val="auto"/>
          <w:sz w:val="20"/>
          <w:szCs w:val="20"/>
          <w:lang w:val="en-GB"/>
        </w:rPr>
        <w:t>.</w:t>
      </w:r>
    </w:p>
    <w:p w14:paraId="787A09BB" w14:textId="77777777" w:rsidR="00C57FC6" w:rsidRPr="0008248A" w:rsidRDefault="00C57FC6" w:rsidP="00DD055B">
      <w:pPr>
        <w:pStyle w:val="Default"/>
        <w:spacing w:after="120"/>
        <w:rPr>
          <w:rFonts w:ascii="Verdana" w:hAnsi="Verdana" w:cstheme="minorHAnsi"/>
          <w:bCs/>
          <w:i/>
          <w:sz w:val="20"/>
          <w:szCs w:val="20"/>
          <w:lang w:val="en-GB"/>
        </w:rPr>
      </w:pPr>
    </w:p>
    <w:p w14:paraId="1F99518D" w14:textId="66E84A5F" w:rsidR="00DD055B" w:rsidRPr="0008248A" w:rsidRDefault="00DD055B" w:rsidP="00DD055B">
      <w:pPr>
        <w:pStyle w:val="Default"/>
        <w:spacing w:after="120"/>
        <w:rPr>
          <w:rFonts w:ascii="Verdana" w:hAnsi="Verdana" w:cstheme="minorHAnsi"/>
          <w:bCs/>
          <w:i/>
          <w:sz w:val="20"/>
          <w:szCs w:val="20"/>
          <w:lang w:val="en-GB"/>
        </w:rPr>
      </w:pPr>
      <w:r w:rsidRPr="0008248A">
        <w:rPr>
          <w:rFonts w:ascii="Verdana" w:hAnsi="Verdana" w:cstheme="minorHAnsi"/>
          <w:bCs/>
          <w:i/>
          <w:sz w:val="20"/>
          <w:szCs w:val="20"/>
          <w:lang w:val="en-GB"/>
        </w:rPr>
        <w:t xml:space="preserve">Q11: Do you have any further comment or suggestion on the draft guidelines? Please explain. </w:t>
      </w:r>
    </w:p>
    <w:p w14:paraId="71C9B80A" w14:textId="56016E7D" w:rsidR="000A7D3A" w:rsidRPr="0008248A" w:rsidRDefault="00F46F23" w:rsidP="00F46F2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 xml:space="preserve">Yes, we do have general </w:t>
      </w:r>
      <w:r w:rsidR="003B6DC6" w:rsidRPr="0008248A">
        <w:rPr>
          <w:rFonts w:ascii="Verdana" w:hAnsi="Verdana" w:cstheme="minorHAnsi"/>
          <w:sz w:val="20"/>
          <w:szCs w:val="20"/>
          <w:lang w:val="en-GB"/>
        </w:rPr>
        <w:t xml:space="preserve">concerns about the approach. First, it is unclear why the guidelines are narrowed down to </w:t>
      </w:r>
      <w:r w:rsidR="003B6DC6" w:rsidRPr="0008248A">
        <w:rPr>
          <w:rFonts w:ascii="Verdana" w:hAnsi="Verdana" w:cstheme="minorHAnsi"/>
          <w:i/>
          <w:iCs/>
          <w:sz w:val="20"/>
          <w:szCs w:val="20"/>
          <w:lang w:val="en-GB"/>
        </w:rPr>
        <w:t>Cloud</w:t>
      </w:r>
      <w:r w:rsidR="003B6DC6" w:rsidRPr="0008248A">
        <w:rPr>
          <w:rFonts w:ascii="Verdana" w:hAnsi="Verdana" w:cstheme="minorHAnsi"/>
          <w:sz w:val="20"/>
          <w:szCs w:val="20"/>
          <w:lang w:val="en-GB"/>
        </w:rPr>
        <w:t xml:space="preserve"> Outsourcing and not Outsourcing as such.</w:t>
      </w:r>
      <w:r w:rsidR="000A7D3A" w:rsidRPr="0008248A">
        <w:rPr>
          <w:rFonts w:ascii="Verdana" w:hAnsi="Verdana" w:cstheme="minorHAnsi"/>
          <w:sz w:val="20"/>
          <w:szCs w:val="20"/>
          <w:lang w:val="en-GB"/>
        </w:rPr>
        <w:t xml:space="preserve"> For credit institutions</w:t>
      </w:r>
      <w:r w:rsidRPr="0008248A">
        <w:rPr>
          <w:rFonts w:ascii="Verdana" w:hAnsi="Verdana" w:cstheme="minorHAnsi"/>
          <w:sz w:val="20"/>
          <w:szCs w:val="20"/>
          <w:lang w:val="en-GB"/>
        </w:rPr>
        <w:t>,</w:t>
      </w:r>
      <w:r w:rsidR="000A7D3A" w:rsidRPr="0008248A">
        <w:rPr>
          <w:rFonts w:ascii="Verdana" w:hAnsi="Verdana" w:cstheme="minorHAnsi"/>
          <w:sz w:val="20"/>
          <w:szCs w:val="20"/>
          <w:lang w:val="en-GB"/>
        </w:rPr>
        <w:t xml:space="preserve"> Outsourcing and Cloud was combined already</w:t>
      </w:r>
      <w:r w:rsidRPr="0008248A">
        <w:rPr>
          <w:rFonts w:ascii="Verdana" w:hAnsi="Verdana" w:cstheme="minorHAnsi"/>
          <w:sz w:val="20"/>
          <w:szCs w:val="20"/>
          <w:lang w:val="en-GB"/>
        </w:rPr>
        <w:t xml:space="preserve"> (since the EBA Outsourcing Guidelines explicitly include cloud outsourcing activities)</w:t>
      </w:r>
      <w:r w:rsidR="000A7D3A" w:rsidRPr="0008248A">
        <w:rPr>
          <w:rFonts w:ascii="Verdana" w:hAnsi="Verdana" w:cstheme="minorHAnsi"/>
          <w:sz w:val="20"/>
          <w:szCs w:val="20"/>
          <w:lang w:val="en-GB"/>
        </w:rPr>
        <w:t>.</w:t>
      </w:r>
      <w:r w:rsidR="003B6DC6" w:rsidRPr="0008248A">
        <w:rPr>
          <w:rFonts w:ascii="Verdana" w:hAnsi="Verdana" w:cstheme="minorHAnsi"/>
          <w:sz w:val="20"/>
          <w:szCs w:val="20"/>
          <w:lang w:val="en-GB"/>
        </w:rPr>
        <w:t xml:space="preserve"> </w:t>
      </w:r>
    </w:p>
    <w:p w14:paraId="3126303C" w14:textId="1DD57CD6" w:rsidR="003B6DC6" w:rsidRPr="0008248A" w:rsidRDefault="003B6DC6" w:rsidP="00F46F2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Second, it seems that Outsourcing raises the same risks for credit institutions as for investment firms or any other financial institutions. If so</w:t>
      </w:r>
      <w:r w:rsidR="00F46F23" w:rsidRPr="0008248A">
        <w:rPr>
          <w:rFonts w:ascii="Verdana" w:hAnsi="Verdana" w:cstheme="minorHAnsi"/>
          <w:sz w:val="20"/>
          <w:szCs w:val="20"/>
          <w:lang w:val="en-GB"/>
        </w:rPr>
        <w:t>,</w:t>
      </w:r>
      <w:r w:rsidRPr="0008248A">
        <w:rPr>
          <w:rFonts w:ascii="Verdana" w:hAnsi="Verdana" w:cstheme="minorHAnsi"/>
          <w:sz w:val="20"/>
          <w:szCs w:val="20"/>
          <w:lang w:val="en-GB"/>
        </w:rPr>
        <w:t xml:space="preserve"> there should be the same rules for all of them (e.g. by a Joint Guideline on Outsourcing</w:t>
      </w:r>
      <w:r w:rsidR="00CD296C" w:rsidRPr="0008248A">
        <w:rPr>
          <w:rFonts w:ascii="Verdana" w:hAnsi="Verdana" w:cstheme="minorHAnsi"/>
          <w:sz w:val="20"/>
          <w:szCs w:val="20"/>
          <w:lang w:val="en-GB"/>
        </w:rPr>
        <w:t xml:space="preserve"> </w:t>
      </w:r>
      <w:r w:rsidR="00F46F23" w:rsidRPr="0008248A">
        <w:rPr>
          <w:rFonts w:ascii="Verdana" w:hAnsi="Verdana" w:cstheme="minorHAnsi"/>
          <w:sz w:val="20"/>
          <w:szCs w:val="20"/>
          <w:lang w:val="en-GB"/>
        </w:rPr>
        <w:t xml:space="preserve">from </w:t>
      </w:r>
      <w:r w:rsidR="00CD296C" w:rsidRPr="0008248A">
        <w:rPr>
          <w:rFonts w:ascii="Verdana" w:hAnsi="Verdana" w:cstheme="minorHAnsi"/>
          <w:sz w:val="20"/>
          <w:szCs w:val="20"/>
          <w:lang w:val="en-GB"/>
        </w:rPr>
        <w:t>ESMA &amp; EBA</w:t>
      </w:r>
      <w:r w:rsidRPr="0008248A">
        <w:rPr>
          <w:rFonts w:ascii="Verdana" w:hAnsi="Verdana" w:cstheme="minorHAnsi"/>
          <w:sz w:val="20"/>
          <w:szCs w:val="20"/>
          <w:lang w:val="en-GB"/>
        </w:rPr>
        <w:t xml:space="preserve">). The current approach (Outsourcing Guidelines incl Cloud for credit institutions, slightly different Cloud Outsourcing Guidelines for securities firms) will lead to complexity and additional </w:t>
      </w:r>
      <w:r w:rsidR="000A7D3A" w:rsidRPr="0008248A">
        <w:rPr>
          <w:rFonts w:ascii="Verdana" w:hAnsi="Verdana" w:cstheme="minorHAnsi"/>
          <w:sz w:val="20"/>
          <w:szCs w:val="20"/>
          <w:lang w:val="en-GB"/>
        </w:rPr>
        <w:t>bureaucracy</w:t>
      </w:r>
      <w:r w:rsidR="001412CB" w:rsidRPr="0008248A">
        <w:rPr>
          <w:rFonts w:ascii="Verdana" w:hAnsi="Verdana" w:cstheme="minorHAnsi"/>
          <w:sz w:val="20"/>
          <w:szCs w:val="20"/>
          <w:lang w:val="en-GB"/>
        </w:rPr>
        <w:t>.</w:t>
      </w:r>
    </w:p>
    <w:p w14:paraId="6E321BEC" w14:textId="2A4FAACC" w:rsidR="001412CB" w:rsidRPr="0008248A" w:rsidRDefault="00F46F23" w:rsidP="00F46F23">
      <w:pPr>
        <w:pStyle w:val="Default"/>
        <w:spacing w:after="120"/>
        <w:rPr>
          <w:rFonts w:ascii="Verdana" w:hAnsi="Verdana" w:cstheme="minorHAnsi"/>
          <w:sz w:val="20"/>
          <w:szCs w:val="20"/>
          <w:lang w:val="en-GB"/>
        </w:rPr>
      </w:pPr>
      <w:r w:rsidRPr="0008248A">
        <w:rPr>
          <w:rFonts w:ascii="Verdana" w:hAnsi="Verdana" w:cstheme="minorHAnsi"/>
          <w:sz w:val="20"/>
          <w:szCs w:val="20"/>
          <w:lang w:val="en-GB"/>
        </w:rPr>
        <w:t xml:space="preserve">Additionally, we observed that even the definitions used in the ESMA draft Guidelines seem to </w:t>
      </w:r>
      <w:r w:rsidR="001412CB" w:rsidRPr="0008248A">
        <w:rPr>
          <w:rFonts w:ascii="Verdana" w:hAnsi="Verdana" w:cstheme="minorHAnsi"/>
          <w:sz w:val="20"/>
          <w:szCs w:val="20"/>
          <w:lang w:val="en-GB"/>
        </w:rPr>
        <w:t xml:space="preserve">deviate (slightly) </w:t>
      </w:r>
      <w:r w:rsidRPr="0008248A">
        <w:rPr>
          <w:rFonts w:ascii="Verdana" w:hAnsi="Verdana" w:cstheme="minorHAnsi"/>
          <w:sz w:val="20"/>
          <w:szCs w:val="20"/>
          <w:lang w:val="en-GB"/>
        </w:rPr>
        <w:t>compared to</w:t>
      </w:r>
      <w:r w:rsidR="001412CB" w:rsidRPr="0008248A">
        <w:rPr>
          <w:rFonts w:ascii="Verdana" w:hAnsi="Verdana" w:cstheme="minorHAnsi"/>
          <w:sz w:val="20"/>
          <w:szCs w:val="20"/>
          <w:lang w:val="en-GB"/>
        </w:rPr>
        <w:t xml:space="preserve"> the recent </w:t>
      </w:r>
      <w:r w:rsidRPr="0008248A">
        <w:rPr>
          <w:rFonts w:ascii="Verdana" w:hAnsi="Verdana" w:cstheme="minorHAnsi"/>
          <w:sz w:val="20"/>
          <w:szCs w:val="20"/>
          <w:lang w:val="en-GB"/>
        </w:rPr>
        <w:t>EBA G</w:t>
      </w:r>
      <w:r w:rsidR="001412CB" w:rsidRPr="0008248A">
        <w:rPr>
          <w:rFonts w:ascii="Verdana" w:hAnsi="Verdana" w:cstheme="minorHAnsi"/>
          <w:sz w:val="20"/>
          <w:szCs w:val="20"/>
          <w:lang w:val="en-GB"/>
        </w:rPr>
        <w:t>uidelines (critical / important function; cloud)</w:t>
      </w:r>
      <w:r w:rsidRPr="0008248A">
        <w:rPr>
          <w:rFonts w:ascii="Verdana" w:hAnsi="Verdana" w:cstheme="minorHAnsi"/>
          <w:sz w:val="20"/>
          <w:szCs w:val="20"/>
          <w:lang w:val="en-GB"/>
        </w:rPr>
        <w:t xml:space="preserve">, which does not provide for a consistent approach. </w:t>
      </w:r>
    </w:p>
    <w:p w14:paraId="5BA3ED5B" w14:textId="77777777" w:rsidR="003B6DC6" w:rsidRPr="0008248A" w:rsidRDefault="003B6DC6" w:rsidP="00DD055B">
      <w:pPr>
        <w:pStyle w:val="Default"/>
        <w:spacing w:after="120"/>
        <w:rPr>
          <w:rFonts w:ascii="Verdana" w:hAnsi="Verdana" w:cstheme="minorHAnsi"/>
          <w:sz w:val="20"/>
          <w:szCs w:val="20"/>
          <w:lang w:val="en-GB"/>
        </w:rPr>
      </w:pPr>
    </w:p>
    <w:p w14:paraId="68C12CD6" w14:textId="77777777" w:rsidR="00C20AFF" w:rsidRPr="0008248A" w:rsidRDefault="00C20AFF" w:rsidP="00C20AFF">
      <w:pPr>
        <w:spacing w:after="120" w:line="240" w:lineRule="auto"/>
        <w:rPr>
          <w:rFonts w:ascii="Verdana" w:hAnsi="Verdana" w:cstheme="minorHAnsi"/>
          <w:i/>
          <w:sz w:val="20"/>
          <w:szCs w:val="20"/>
          <w:lang w:val="en-GB"/>
        </w:rPr>
      </w:pPr>
      <w:r w:rsidRPr="0008248A">
        <w:rPr>
          <w:rFonts w:ascii="Verdana" w:hAnsi="Verdana" w:cstheme="minorHAnsi"/>
          <w:bCs/>
          <w:i/>
          <w:sz w:val="20"/>
          <w:szCs w:val="20"/>
          <w:lang w:val="en-GB"/>
        </w:rPr>
        <w:t>Q12: What level of resources (financial and other) would be required to implement and comply with the guidelines and for which related cost (please distinguish between one off and ongoing costs)? When responding to this question, please provide information on the size, internal set-up and the nature, scale and complexity of the activities of your organisation, where relevant</w:t>
      </w:r>
      <w:r w:rsidRPr="0008248A">
        <w:rPr>
          <w:rFonts w:ascii="Verdana" w:hAnsi="Verdana" w:cstheme="minorHAnsi"/>
          <w:i/>
          <w:sz w:val="20"/>
          <w:szCs w:val="20"/>
          <w:lang w:val="en-GB"/>
        </w:rPr>
        <w:t>.</w:t>
      </w:r>
    </w:p>
    <w:p w14:paraId="1BEA8027" w14:textId="42C6690A" w:rsidR="000A1BB1" w:rsidRPr="0008248A" w:rsidRDefault="00C20AFF" w:rsidP="00F46F23">
      <w:pPr>
        <w:pStyle w:val="Default"/>
        <w:spacing w:after="120"/>
        <w:rPr>
          <w:rFonts w:ascii="Verdana" w:hAnsi="Verdana" w:cstheme="minorHAnsi"/>
          <w:color w:val="auto"/>
          <w:sz w:val="20"/>
          <w:szCs w:val="20"/>
          <w:lang w:val="en-GB"/>
        </w:rPr>
      </w:pPr>
      <w:r w:rsidRPr="0008248A">
        <w:rPr>
          <w:rFonts w:ascii="Verdana" w:hAnsi="Verdana" w:cstheme="minorHAnsi"/>
          <w:color w:val="auto"/>
          <w:sz w:val="20"/>
          <w:szCs w:val="20"/>
          <w:lang w:val="en-GB"/>
        </w:rPr>
        <w:t>The answer depends on the specification of above outlined unclear topics (</w:t>
      </w:r>
      <w:r w:rsidR="00F46F23" w:rsidRPr="0008248A">
        <w:rPr>
          <w:rFonts w:ascii="Verdana" w:hAnsi="Verdana" w:cstheme="minorHAnsi"/>
          <w:color w:val="auto"/>
          <w:sz w:val="20"/>
          <w:szCs w:val="20"/>
          <w:lang w:val="en-GB"/>
        </w:rPr>
        <w:t>e.</w:t>
      </w:r>
      <w:r w:rsidRPr="0008248A">
        <w:rPr>
          <w:rFonts w:ascii="Verdana" w:hAnsi="Verdana" w:cstheme="minorHAnsi"/>
          <w:color w:val="auto"/>
          <w:sz w:val="20"/>
          <w:szCs w:val="20"/>
          <w:lang w:val="en-GB"/>
        </w:rPr>
        <w:t>g</w:t>
      </w:r>
      <w:r w:rsidR="00F46F23" w:rsidRPr="0008248A">
        <w:rPr>
          <w:rFonts w:ascii="Verdana" w:hAnsi="Verdana" w:cstheme="minorHAnsi"/>
          <w:color w:val="auto"/>
          <w:sz w:val="20"/>
          <w:szCs w:val="20"/>
          <w:lang w:val="en-GB"/>
        </w:rPr>
        <w:t>.</w:t>
      </w:r>
      <w:r w:rsidRPr="0008248A">
        <w:rPr>
          <w:rFonts w:ascii="Verdana" w:hAnsi="Verdana" w:cstheme="minorHAnsi"/>
          <w:color w:val="auto"/>
          <w:sz w:val="20"/>
          <w:szCs w:val="20"/>
          <w:lang w:val="en-GB"/>
        </w:rPr>
        <w:t xml:space="preserve"> risk-based approach, </w:t>
      </w:r>
      <w:r w:rsidR="0041173C" w:rsidRPr="0008248A">
        <w:rPr>
          <w:rFonts w:ascii="Verdana" w:hAnsi="Verdana" w:cstheme="minorHAnsi"/>
          <w:color w:val="auto"/>
          <w:sz w:val="20"/>
          <w:szCs w:val="20"/>
          <w:lang w:val="en-GB"/>
        </w:rPr>
        <w:t xml:space="preserve">contractual requirements, </w:t>
      </w:r>
      <w:r w:rsidRPr="0008248A">
        <w:rPr>
          <w:rFonts w:ascii="Verdana" w:hAnsi="Verdana" w:cstheme="minorHAnsi"/>
          <w:color w:val="auto"/>
          <w:sz w:val="20"/>
          <w:szCs w:val="20"/>
          <w:lang w:val="en-GB"/>
        </w:rPr>
        <w:t>audit</w:t>
      </w:r>
      <w:r w:rsidR="0041173C" w:rsidRPr="0008248A">
        <w:rPr>
          <w:rFonts w:ascii="Verdana" w:hAnsi="Verdana" w:cstheme="minorHAnsi"/>
          <w:color w:val="auto"/>
          <w:sz w:val="20"/>
          <w:szCs w:val="20"/>
          <w:lang w:val="en-GB"/>
        </w:rPr>
        <w:t>, etc.)</w:t>
      </w:r>
      <w:r w:rsidRPr="0008248A">
        <w:rPr>
          <w:rFonts w:ascii="Verdana" w:hAnsi="Verdana" w:cstheme="minorHAnsi"/>
          <w:color w:val="auto"/>
          <w:sz w:val="20"/>
          <w:szCs w:val="20"/>
          <w:lang w:val="en-GB"/>
        </w:rPr>
        <w:t>.</w:t>
      </w:r>
      <w:r w:rsidR="0041173C" w:rsidRPr="0008248A">
        <w:rPr>
          <w:rFonts w:ascii="Verdana" w:hAnsi="Verdana" w:cstheme="minorHAnsi"/>
          <w:color w:val="auto"/>
          <w:sz w:val="20"/>
          <w:szCs w:val="20"/>
          <w:lang w:val="en-GB"/>
        </w:rPr>
        <w:t xml:space="preserve"> Depending on specification, additional resources in overall governance as well as in the specific functions (IT, Security, Procurement / Outsourcing, Legal, etc.) may be needed to comply</w:t>
      </w:r>
      <w:r w:rsidR="00F46F23" w:rsidRPr="0008248A">
        <w:rPr>
          <w:rFonts w:ascii="Verdana" w:hAnsi="Verdana" w:cstheme="minorHAnsi"/>
          <w:color w:val="auto"/>
          <w:sz w:val="20"/>
          <w:szCs w:val="20"/>
          <w:lang w:val="en-GB"/>
        </w:rPr>
        <w:t xml:space="preserve"> with the Guidelines. </w:t>
      </w:r>
    </w:p>
    <w:sectPr w:rsidR="000A1BB1" w:rsidRPr="0008248A" w:rsidSect="0008248A">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D5A1" w14:textId="77777777" w:rsidR="00875802" w:rsidRDefault="00875802" w:rsidP="00DD055B">
      <w:pPr>
        <w:spacing w:after="0" w:line="240" w:lineRule="auto"/>
      </w:pPr>
      <w:r>
        <w:separator/>
      </w:r>
    </w:p>
  </w:endnote>
  <w:endnote w:type="continuationSeparator" w:id="0">
    <w:p w14:paraId="37582440" w14:textId="77777777" w:rsidR="00875802" w:rsidRDefault="00875802" w:rsidP="00DD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29337"/>
      <w:docPartObj>
        <w:docPartGallery w:val="Page Numbers (Bottom of Page)"/>
        <w:docPartUnique/>
      </w:docPartObj>
    </w:sdtPr>
    <w:sdtEndPr>
      <w:rPr>
        <w:noProof/>
      </w:rPr>
    </w:sdtEndPr>
    <w:sdtContent>
      <w:p w14:paraId="06D22229" w14:textId="1C5392A3" w:rsidR="0008248A" w:rsidRDefault="0008248A">
        <w:pPr>
          <w:pStyle w:val="Footer"/>
          <w:jc w:val="right"/>
        </w:pPr>
        <w:r>
          <w:fldChar w:fldCharType="begin"/>
        </w:r>
        <w:r>
          <w:instrText xml:space="preserve"> PAGE   \* MERGEFORMAT </w:instrText>
        </w:r>
        <w:r>
          <w:fldChar w:fldCharType="separate"/>
        </w:r>
        <w:r w:rsidR="00B76266">
          <w:rPr>
            <w:noProof/>
          </w:rPr>
          <w:t>4</w:t>
        </w:r>
        <w:r>
          <w:rPr>
            <w:noProof/>
          </w:rPr>
          <w:fldChar w:fldCharType="end"/>
        </w:r>
      </w:p>
    </w:sdtContent>
  </w:sdt>
  <w:p w14:paraId="3E829BB2" w14:textId="77777777" w:rsidR="00C45A1A" w:rsidRDefault="00C45A1A" w:rsidP="00C45A1A">
    <w:pPr>
      <w:pStyle w:val="Footer"/>
      <w:tabs>
        <w:tab w:val="clear" w:pos="9072"/>
        <w:tab w:val="right" w:pos="9214"/>
      </w:tabs>
      <w:ind w:left="-142" w:right="-47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7929" w14:textId="77777777" w:rsidR="0008248A" w:rsidRPr="00B01607" w:rsidRDefault="0008248A" w:rsidP="0008248A">
    <w:pPr>
      <w:pBdr>
        <w:bottom w:val="single" w:sz="4" w:space="1" w:color="6A8B9E"/>
      </w:pBdr>
      <w:tabs>
        <w:tab w:val="center" w:pos="4703"/>
        <w:tab w:val="right" w:pos="9406"/>
      </w:tabs>
      <w:spacing w:after="0" w:line="240" w:lineRule="auto"/>
      <w:ind w:right="964"/>
      <w:jc w:val="center"/>
      <w:rPr>
        <w:b/>
        <w:color w:val="943931"/>
        <w:sz w:val="20"/>
        <w:szCs w:val="20"/>
      </w:rPr>
    </w:pPr>
    <w:r>
      <w:rPr>
        <w:b/>
        <w:color w:val="943931"/>
        <w:sz w:val="20"/>
        <w:szCs w:val="20"/>
      </w:rPr>
      <w:t xml:space="preserve">The voice of 2.800 local and retail banks, 84 </w:t>
    </w:r>
    <w:r w:rsidRPr="00B01607">
      <w:rPr>
        <w:b/>
        <w:color w:val="943931"/>
        <w:sz w:val="20"/>
        <w:szCs w:val="20"/>
      </w:rPr>
      <w:t>million members, 209 million customers in EU</w:t>
    </w:r>
  </w:p>
  <w:p w14:paraId="5F16251C" w14:textId="77777777" w:rsidR="0008248A" w:rsidRPr="00B01607" w:rsidRDefault="0008248A" w:rsidP="0008248A">
    <w:pPr>
      <w:tabs>
        <w:tab w:val="center" w:pos="4703"/>
        <w:tab w:val="right" w:pos="9406"/>
      </w:tabs>
      <w:spacing w:after="0" w:line="240" w:lineRule="exact"/>
      <w:ind w:right="566"/>
      <w:jc w:val="center"/>
      <w:rPr>
        <w:rFonts w:ascii="Verdana" w:eastAsia="Calibri" w:hAnsi="Verdana" w:cs="Times New Roman"/>
        <w:color w:val="6A8B9E"/>
        <w:sz w:val="14"/>
        <w:szCs w:val="14"/>
        <w:lang w:val="fr-FR"/>
      </w:rPr>
    </w:pPr>
    <w:r w:rsidRPr="00B01607">
      <w:rPr>
        <w:rFonts w:ascii="Verdana" w:eastAsia="Calibri" w:hAnsi="Verdana" w:cs="Times New Roman"/>
        <w:b/>
        <w:color w:val="6A8B9E"/>
        <w:sz w:val="14"/>
        <w:szCs w:val="14"/>
        <w:lang w:val="fr-FR"/>
      </w:rPr>
      <w:t>EACB AISBL</w:t>
    </w:r>
    <w:r w:rsidRPr="00B01607">
      <w:rPr>
        <w:rFonts w:ascii="Verdana" w:eastAsia="Calibri" w:hAnsi="Verdana" w:cs="Times New Roman"/>
        <w:color w:val="6A8B9E"/>
        <w:sz w:val="14"/>
        <w:szCs w:val="14"/>
        <w:lang w:val="fr-FR"/>
      </w:rPr>
      <w:t xml:space="preserve"> – Secretariat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BE"/>
      </w:rPr>
      <w:t xml:space="preserve"> </w:t>
    </w:r>
    <w:r w:rsidRPr="00B01607">
      <w:rPr>
        <w:rFonts w:ascii="Verdana" w:eastAsia="Calibri" w:hAnsi="Verdana" w:cs="Times New Roman"/>
        <w:color w:val="6A8B9E"/>
        <w:sz w:val="14"/>
        <w:szCs w:val="14"/>
        <w:lang w:val="fr-FR"/>
      </w:rPr>
      <w:t>Rue de l</w:t>
    </w:r>
    <w:r>
      <w:rPr>
        <w:rFonts w:ascii="Verdana" w:eastAsia="Calibri" w:hAnsi="Verdana" w:cs="Times New Roman"/>
        <w:color w:val="6A8B9E"/>
        <w:sz w:val="14"/>
        <w:szCs w:val="14"/>
        <w:lang w:val="fr-FR"/>
      </w:rPr>
      <w:t>’</w:t>
    </w:r>
    <w:r w:rsidRPr="00B01607">
      <w:rPr>
        <w:rFonts w:ascii="Verdana" w:eastAsia="Calibri" w:hAnsi="Verdana" w:cs="Times New Roman"/>
        <w:color w:val="6A8B9E"/>
        <w:sz w:val="14"/>
        <w:szCs w:val="14"/>
        <w:lang w:val="fr-FR"/>
      </w:rPr>
      <w:t xml:space="preserve">Industrie 26-38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lang w:val="fr-FR"/>
      </w:rPr>
      <w:t xml:space="preserve"> B-1040 Brussels </w:t>
    </w:r>
  </w:p>
  <w:p w14:paraId="6F9A8FE4" w14:textId="77777777" w:rsidR="0008248A" w:rsidRPr="00B01607" w:rsidRDefault="0008248A" w:rsidP="0008248A">
    <w:pPr>
      <w:tabs>
        <w:tab w:val="center" w:pos="4703"/>
        <w:tab w:val="right" w:pos="9406"/>
      </w:tabs>
      <w:spacing w:after="0" w:line="240" w:lineRule="exact"/>
      <w:ind w:right="566"/>
      <w:jc w:val="center"/>
      <w:rPr>
        <w:rFonts w:ascii="Verdana" w:eastAsia="Calibri" w:hAnsi="Verdana" w:cs="Times New Roman"/>
        <w:color w:val="6A8B9E"/>
        <w:sz w:val="14"/>
        <w:szCs w:val="14"/>
      </w:rPr>
    </w:pPr>
    <w:r w:rsidRPr="00B01607">
      <w:rPr>
        <w:rFonts w:ascii="Verdana" w:eastAsia="Calibri" w:hAnsi="Verdana" w:cs="Times New Roman"/>
        <w:color w:val="6A8B9E"/>
        <w:sz w:val="14"/>
        <w:szCs w:val="14"/>
      </w:rPr>
      <w:t xml:space="preserve">Tel: (+32 2) 230 11 24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Fax (+32 2) 230 06 49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Enterprise 0896.081.149 </w:t>
    </w:r>
    <w:r w:rsidRPr="00B01607">
      <w:rPr>
        <w:rFonts w:ascii="Verdana" w:eastAsia="Calibri" w:hAnsi="Verdana" w:cs="Times New Roman"/>
        <w:color w:val="6A8B9E"/>
        <w:sz w:val="14"/>
        <w:szCs w:val="14"/>
      </w:rPr>
      <w:sym w:font="Symbol" w:char="F0B7"/>
    </w:r>
    <w:r w:rsidRPr="00B01607">
      <w:rPr>
        <w:rFonts w:ascii="Verdana" w:eastAsia="Calibri" w:hAnsi="Verdana" w:cs="Times New Roman"/>
        <w:color w:val="6A8B9E"/>
        <w:sz w:val="14"/>
        <w:szCs w:val="14"/>
      </w:rPr>
      <w:t xml:space="preserve"> lobbying register 4172526951-19</w:t>
    </w:r>
  </w:p>
  <w:p w14:paraId="178F0D2D" w14:textId="77777777" w:rsidR="0008248A" w:rsidRPr="00B01607" w:rsidRDefault="00B76266" w:rsidP="0008248A">
    <w:pPr>
      <w:tabs>
        <w:tab w:val="center" w:pos="4703"/>
        <w:tab w:val="right" w:pos="9406"/>
      </w:tabs>
      <w:spacing w:after="0" w:line="240" w:lineRule="auto"/>
      <w:jc w:val="center"/>
      <w:rPr>
        <w:color w:val="6A8B9E"/>
        <w:lang w:val="it-IT"/>
      </w:rPr>
    </w:pPr>
    <w:hyperlink r:id="rId1" w:history="1">
      <w:r w:rsidR="0008248A" w:rsidRPr="00B01607">
        <w:rPr>
          <w:rFonts w:ascii="Verdana" w:eastAsia="Calibri" w:hAnsi="Verdana" w:cs="Times New Roman"/>
          <w:color w:val="6A8B9E"/>
          <w:sz w:val="14"/>
          <w:szCs w:val="14"/>
          <w:u w:val="single"/>
          <w:lang w:val="it-IT"/>
        </w:rPr>
        <w:t>www.eacb.coop</w:t>
      </w:r>
    </w:hyperlink>
    <w:r w:rsidR="0008248A">
      <w:rPr>
        <w:rFonts w:ascii="Verdana" w:eastAsia="Calibri" w:hAnsi="Verdana" w:cs="Times New Roman"/>
        <w:color w:val="6A8B9E"/>
        <w:sz w:val="14"/>
        <w:szCs w:val="14"/>
        <w:lang w:val="it-IT"/>
      </w:rPr>
      <w:t xml:space="preserve"> </w:t>
    </w:r>
    <w:r w:rsidR="0008248A" w:rsidRPr="00B01607">
      <w:rPr>
        <w:rFonts w:ascii="Verdana" w:eastAsia="Calibri" w:hAnsi="Verdana" w:cs="Times New Roman"/>
        <w:color w:val="6A8B9E"/>
        <w:sz w:val="14"/>
        <w:szCs w:val="14"/>
      </w:rPr>
      <w:sym w:font="Symbol" w:char="F0B7"/>
    </w:r>
    <w:r w:rsidR="0008248A" w:rsidRPr="00B01607">
      <w:rPr>
        <w:rFonts w:ascii="Verdana" w:eastAsia="Calibri" w:hAnsi="Verdana" w:cs="Times New Roman"/>
        <w:color w:val="6A8B9E"/>
        <w:sz w:val="14"/>
        <w:szCs w:val="14"/>
        <w:lang w:val="it-IT"/>
      </w:rPr>
      <w:t xml:space="preserve"> e-mail : </w:t>
    </w:r>
    <w:hyperlink r:id="rId2" w:history="1">
      <w:r w:rsidR="0008248A" w:rsidRPr="00B01607">
        <w:rPr>
          <w:rFonts w:ascii="Verdana" w:eastAsia="Calibri" w:hAnsi="Verdana" w:cs="Times New Roman"/>
          <w:color w:val="6A8B9E"/>
          <w:sz w:val="14"/>
          <w:szCs w:val="14"/>
          <w:u w:val="single"/>
          <w:lang w:val="it-IT"/>
        </w:rPr>
        <w:t>secretariat@eacb.coop</w:t>
      </w:r>
    </w:hyperlink>
  </w:p>
  <w:p w14:paraId="01351719" w14:textId="77777777" w:rsidR="0008248A" w:rsidRDefault="0008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ACE0" w14:textId="77777777" w:rsidR="00875802" w:rsidRDefault="00875802" w:rsidP="00DD055B">
      <w:pPr>
        <w:spacing w:after="0" w:line="240" w:lineRule="auto"/>
      </w:pPr>
      <w:r>
        <w:separator/>
      </w:r>
    </w:p>
  </w:footnote>
  <w:footnote w:type="continuationSeparator" w:id="0">
    <w:p w14:paraId="67282629" w14:textId="77777777" w:rsidR="00875802" w:rsidRDefault="00875802" w:rsidP="00DD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84A0AF"/>
        <w:left w:val="none" w:sz="0" w:space="0" w:color="auto"/>
        <w:bottom w:val="single" w:sz="4" w:space="0" w:color="84A0AF"/>
        <w:right w:val="none" w:sz="0" w:space="0" w:color="auto"/>
        <w:insideH w:val="none" w:sz="0" w:space="0" w:color="auto"/>
        <w:insideV w:val="none" w:sz="0" w:space="0" w:color="auto"/>
      </w:tblBorders>
      <w:tblLook w:val="04A0" w:firstRow="1" w:lastRow="0" w:firstColumn="1" w:lastColumn="0" w:noHBand="0" w:noVBand="1"/>
    </w:tblPr>
    <w:tblGrid>
      <w:gridCol w:w="1252"/>
      <w:gridCol w:w="7774"/>
    </w:tblGrid>
    <w:tr w:rsidR="00C45A1A" w:rsidRPr="00354F99" w14:paraId="4441CE2A" w14:textId="77777777" w:rsidTr="00AF3EF6">
      <w:trPr>
        <w:trHeight w:val="1266"/>
        <w:jc w:val="center"/>
      </w:trPr>
      <w:tc>
        <w:tcPr>
          <w:tcW w:w="1362" w:type="dxa"/>
        </w:tcPr>
        <w:p w14:paraId="37C47BC5" w14:textId="77777777" w:rsidR="00C45A1A" w:rsidRPr="00354F99" w:rsidRDefault="00C45A1A" w:rsidP="00C45A1A">
          <w:pPr>
            <w:tabs>
              <w:tab w:val="center" w:pos="4703"/>
              <w:tab w:val="right" w:pos="9406"/>
            </w:tabs>
            <w:rPr>
              <w:rFonts w:ascii="Calibri" w:eastAsia="Calibri" w:hAnsi="Calibri" w:cs="Times New Roman"/>
            </w:rPr>
          </w:pPr>
          <w:r>
            <w:rPr>
              <w:rFonts w:ascii="Calibri" w:eastAsia="Calibri" w:hAnsi="Calibri" w:cs="Times New Roman"/>
              <w:noProof/>
              <w:lang w:val="en-GB" w:eastAsia="en-GB"/>
            </w:rPr>
            <w:drawing>
              <wp:anchor distT="0" distB="0" distL="114300" distR="114300" simplePos="0" relativeHeight="251659264" behindDoc="0" locked="0" layoutInCell="1" allowOverlap="1" wp14:anchorId="2B8EF242" wp14:editId="25F08F04">
                <wp:simplePos x="0" y="0"/>
                <wp:positionH relativeFrom="column">
                  <wp:posOffset>17145</wp:posOffset>
                </wp:positionH>
                <wp:positionV relativeFrom="paragraph">
                  <wp:posOffset>58420</wp:posOffset>
                </wp:positionV>
                <wp:extent cx="790575" cy="730266"/>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logo ea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0266"/>
                        </a:xfrm>
                        <a:prstGeom prst="rect">
                          <a:avLst/>
                        </a:prstGeom>
                      </pic:spPr>
                    </pic:pic>
                  </a:graphicData>
                </a:graphic>
                <wp14:sizeRelH relativeFrom="page">
                  <wp14:pctWidth>0</wp14:pctWidth>
                </wp14:sizeRelH>
                <wp14:sizeRelV relativeFrom="page">
                  <wp14:pctHeight>0</wp14:pctHeight>
                </wp14:sizeRelV>
              </wp:anchor>
            </w:drawing>
          </w:r>
        </w:p>
      </w:tc>
      <w:tc>
        <w:tcPr>
          <w:tcW w:w="8391" w:type="dxa"/>
        </w:tcPr>
        <w:p w14:paraId="07CD0F4F" w14:textId="77777777" w:rsidR="00C45A1A" w:rsidRPr="00354F99" w:rsidRDefault="00C45A1A" w:rsidP="00C45A1A">
          <w:pPr>
            <w:tabs>
              <w:tab w:val="center" w:pos="4703"/>
              <w:tab w:val="right" w:pos="9406"/>
            </w:tabs>
            <w:ind w:left="798"/>
            <w:rPr>
              <w:rFonts w:ascii="Calibri" w:eastAsia="Calibri" w:hAnsi="Calibri" w:cs="Times New Roman"/>
            </w:rPr>
          </w:pPr>
          <w:r w:rsidRPr="00787DE0">
            <w:rPr>
              <w:rFonts w:ascii="Calibri" w:eastAsia="Calibri" w:hAnsi="Calibri" w:cs="Times New Roman"/>
              <w:noProof/>
              <w:lang w:val="en-GB" w:eastAsia="en-GB"/>
            </w:rPr>
            <mc:AlternateContent>
              <mc:Choice Requires="wps">
                <w:drawing>
                  <wp:anchor distT="45720" distB="45720" distL="114300" distR="114300" simplePos="0" relativeHeight="251660288" behindDoc="0" locked="0" layoutInCell="1" allowOverlap="1" wp14:anchorId="18AB5968" wp14:editId="0091B32B">
                    <wp:simplePos x="0" y="0"/>
                    <wp:positionH relativeFrom="column">
                      <wp:posOffset>4295775</wp:posOffset>
                    </wp:positionH>
                    <wp:positionV relativeFrom="paragraph">
                      <wp:posOffset>14605</wp:posOffset>
                    </wp:positionV>
                    <wp:extent cx="10388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404620"/>
                            </a:xfrm>
                            <a:prstGeom prst="rect">
                              <a:avLst/>
                            </a:prstGeom>
                            <a:noFill/>
                            <a:ln w="9525">
                              <a:noFill/>
                              <a:miter lim="800000"/>
                              <a:headEnd/>
                              <a:tailEnd/>
                            </a:ln>
                          </wps:spPr>
                          <wps:txbx>
                            <w:txbxContent>
                              <w:p w14:paraId="12D51930" w14:textId="77777777" w:rsidR="00C45A1A" w:rsidRPr="00DC7765" w:rsidRDefault="00C45A1A" w:rsidP="00C45A1A">
                                <w:pPr>
                                  <w:spacing w:after="0" w:line="240" w:lineRule="auto"/>
                                  <w:jc w:val="center"/>
                                  <w:rPr>
                                    <w:rFonts w:ascii="Courgette" w:hAnsi="Courgette"/>
                                    <w:color w:val="943931"/>
                                  </w:rPr>
                                </w:pPr>
                                <w:r w:rsidRPr="00DC7765">
                                  <w:rPr>
                                    <w:rFonts w:ascii="Courgette" w:hAnsi="Courgette"/>
                                    <w:color w:val="943931"/>
                                    <w:sz w:val="40"/>
                                    <w:szCs w:val="40"/>
                                  </w:rPr>
                                  <w:t>50</w:t>
                                </w:r>
                                <w:r w:rsidRPr="00DC7765">
                                  <w:rPr>
                                    <w:rFonts w:ascii="Courgette" w:hAnsi="Courgette"/>
                                    <w:color w:val="943931"/>
                                    <w:sz w:val="40"/>
                                    <w:szCs w:val="40"/>
                                    <w:vertAlign w:val="superscript"/>
                                  </w:rPr>
                                  <w:t>th</w:t>
                                </w:r>
                              </w:p>
                              <w:p w14:paraId="1433FF50" w14:textId="77777777" w:rsidR="00C45A1A" w:rsidRPr="00DC7765" w:rsidRDefault="00C45A1A" w:rsidP="00C45A1A">
                                <w:pPr>
                                  <w:spacing w:after="0" w:line="240" w:lineRule="auto"/>
                                  <w:rPr>
                                    <w:b/>
                                    <w:color w:val="943931"/>
                                  </w:rPr>
                                </w:pPr>
                                <w:r w:rsidRPr="00DC7765">
                                  <w:rPr>
                                    <w:b/>
                                    <w:color w:val="943931"/>
                                  </w:rPr>
                                  <w:t>Anniversary</w:t>
                                </w:r>
                              </w:p>
                              <w:p w14:paraId="29D64E5F" w14:textId="77777777" w:rsidR="00C45A1A" w:rsidRPr="00DC7765" w:rsidRDefault="00C45A1A" w:rsidP="00C45A1A">
                                <w:pPr>
                                  <w:spacing w:after="0" w:line="240" w:lineRule="auto"/>
                                  <w:rPr>
                                    <w:b/>
                                    <w:color w:val="943931"/>
                                  </w:rPr>
                                </w:pPr>
                                <w:r w:rsidRPr="00DC7765">
                                  <w:rPr>
                                    <w:b/>
                                    <w:color w:val="943931"/>
                                  </w:rPr>
                                  <w:t>1970-2020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B5968" id="_x0000_t202" coordsize="21600,21600" o:spt="202" path="m,l,21600r21600,l21600,xe">
                    <v:stroke joinstyle="miter"/>
                    <v:path gradientshapeok="t" o:connecttype="rect"/>
                  </v:shapetype>
                  <v:shape id="Text Box 2" o:spid="_x0000_s1026" type="#_x0000_t202" style="position:absolute;left:0;text-align:left;margin-left:338.25pt;margin-top:1.15pt;width:81.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" filled="f" stroked="f">
                    <v:textbox style="mso-fit-shape-to-text:t">
                      <w:txbxContent>
                        <w:p w14:paraId="12D51930" w14:textId="77777777" w:rsidR="00C45A1A" w:rsidRPr="00DC7765" w:rsidRDefault="00C45A1A" w:rsidP="00C45A1A">
                          <w:pPr>
                            <w:spacing w:after="0" w:line="240" w:lineRule="auto"/>
                            <w:jc w:val="center"/>
                            <w:rPr>
                              <w:rFonts w:ascii="Courgette" w:hAnsi="Courgette"/>
                              <w:color w:val="943931"/>
                            </w:rPr>
                          </w:pPr>
                          <w:r w:rsidRPr="00DC7765">
                            <w:rPr>
                              <w:rFonts w:ascii="Courgette" w:hAnsi="Courgette"/>
                              <w:color w:val="943931"/>
                              <w:sz w:val="40"/>
                              <w:szCs w:val="40"/>
                            </w:rPr>
                            <w:t>50</w:t>
                          </w:r>
                          <w:r w:rsidRPr="00DC7765">
                            <w:rPr>
                              <w:rFonts w:ascii="Courgette" w:hAnsi="Courgette"/>
                              <w:color w:val="943931"/>
                              <w:sz w:val="40"/>
                              <w:szCs w:val="40"/>
                              <w:vertAlign w:val="superscript"/>
                            </w:rPr>
                            <w:t>th</w:t>
                          </w:r>
                        </w:p>
                        <w:p w14:paraId="1433FF50" w14:textId="77777777" w:rsidR="00C45A1A" w:rsidRPr="00DC7765" w:rsidRDefault="00C45A1A" w:rsidP="00C45A1A">
                          <w:pPr>
                            <w:spacing w:after="0" w:line="240" w:lineRule="auto"/>
                            <w:rPr>
                              <w:b/>
                              <w:color w:val="943931"/>
                            </w:rPr>
                          </w:pPr>
                          <w:r w:rsidRPr="00DC7765">
                            <w:rPr>
                              <w:b/>
                              <w:color w:val="943931"/>
                            </w:rPr>
                            <w:t>Anniversary</w:t>
                          </w:r>
                        </w:p>
                        <w:p w14:paraId="29D64E5F" w14:textId="77777777" w:rsidR="00C45A1A" w:rsidRPr="00DC7765" w:rsidRDefault="00C45A1A" w:rsidP="00C45A1A">
                          <w:pPr>
                            <w:spacing w:after="0" w:line="240" w:lineRule="auto"/>
                            <w:rPr>
                              <w:b/>
                              <w:color w:val="943931"/>
                            </w:rPr>
                          </w:pPr>
                          <w:r w:rsidRPr="00DC7765">
                            <w:rPr>
                              <w:b/>
                              <w:color w:val="943931"/>
                            </w:rPr>
                            <w:t>1970-2020</w:t>
                          </w:r>
                        </w:p>
                      </w:txbxContent>
                    </v:textbox>
                  </v:shape>
                </w:pict>
              </mc:Fallback>
            </mc:AlternateContent>
          </w:r>
        </w:p>
        <w:p w14:paraId="60D0FBE6" w14:textId="77777777" w:rsidR="00C45A1A" w:rsidRPr="00231EB0" w:rsidRDefault="00C45A1A" w:rsidP="00C45A1A">
          <w:pPr>
            <w:tabs>
              <w:tab w:val="center" w:pos="4703"/>
              <w:tab w:val="right" w:pos="9406"/>
            </w:tabs>
            <w:ind w:left="231"/>
            <w:rPr>
              <w:rFonts w:ascii="Calibri" w:eastAsia="Calibri" w:hAnsi="Calibri" w:cs="Times New Roman"/>
              <w:b/>
              <w:color w:val="6A8B9E"/>
              <w:sz w:val="28"/>
              <w:szCs w:val="28"/>
            </w:rPr>
          </w:pPr>
          <w:r w:rsidRPr="00231EB0">
            <w:rPr>
              <w:rFonts w:ascii="Calibri" w:eastAsia="Calibri" w:hAnsi="Calibri" w:cs="Times New Roman"/>
              <w:b/>
              <w:color w:val="6A8B9E"/>
              <w:sz w:val="28"/>
              <w:szCs w:val="28"/>
            </w:rPr>
            <w:t>EUROPEAN ASSOCIATION OF CO-OPERATIVE BANKS</w:t>
          </w:r>
        </w:p>
        <w:p w14:paraId="4C5C9B38" w14:textId="77777777" w:rsidR="00C45A1A" w:rsidRPr="00231EB0" w:rsidRDefault="00C45A1A" w:rsidP="00C45A1A">
          <w:pPr>
            <w:tabs>
              <w:tab w:val="center" w:pos="4703"/>
              <w:tab w:val="right" w:pos="9406"/>
            </w:tabs>
            <w:ind w:left="231"/>
            <w:rPr>
              <w:rFonts w:ascii="Calibri" w:eastAsia="Calibri" w:hAnsi="Calibri" w:cs="Times New Roman"/>
              <w:b/>
              <w:color w:val="6A8B9E"/>
            </w:rPr>
          </w:pPr>
          <w:r w:rsidRPr="00231EB0">
            <w:rPr>
              <w:rFonts w:ascii="Calibri" w:eastAsia="Calibri" w:hAnsi="Calibri" w:cs="Times New Roman"/>
              <w:b/>
              <w:color w:val="6A8B9E"/>
            </w:rPr>
            <w:t xml:space="preserve">The Co-operative Difference :  </w:t>
          </w:r>
          <w:r w:rsidRPr="00B01607">
            <w:rPr>
              <w:rFonts w:ascii="Calibri" w:eastAsia="Calibri" w:hAnsi="Calibri" w:cs="Times New Roman"/>
              <w:b/>
              <w:color w:val="6A8B9E"/>
            </w:rPr>
            <w:t>Sustainability</w:t>
          </w:r>
          <w:r w:rsidRPr="00231EB0">
            <w:rPr>
              <w:rFonts w:ascii="Calibri" w:eastAsia="Calibri" w:hAnsi="Calibri" w:cs="Times New Roman"/>
              <w:b/>
              <w:color w:val="6A8B9E"/>
            </w:rPr>
            <w:t xml:space="preserve">, Proximity, Governance </w:t>
          </w:r>
        </w:p>
        <w:p w14:paraId="17BB8611" w14:textId="77777777" w:rsidR="00C45A1A" w:rsidRDefault="00C45A1A" w:rsidP="00C45A1A">
          <w:pPr>
            <w:tabs>
              <w:tab w:val="center" w:pos="4703"/>
              <w:tab w:val="right" w:pos="9406"/>
            </w:tabs>
            <w:ind w:left="798"/>
            <w:rPr>
              <w:rFonts w:ascii="Calibri" w:eastAsia="Calibri" w:hAnsi="Calibri" w:cs="Times New Roman"/>
              <w:b/>
              <w:color w:val="767171"/>
            </w:rPr>
          </w:pPr>
        </w:p>
        <w:p w14:paraId="10130209" w14:textId="77777777" w:rsidR="00C45A1A" w:rsidRPr="00EB4738" w:rsidRDefault="00C45A1A" w:rsidP="00C45A1A">
          <w:pPr>
            <w:tabs>
              <w:tab w:val="center" w:pos="4703"/>
              <w:tab w:val="right" w:pos="9406"/>
            </w:tabs>
            <w:ind w:left="798"/>
            <w:rPr>
              <w:rFonts w:ascii="Calibri" w:eastAsia="Calibri" w:hAnsi="Calibri" w:cs="Times New Roman"/>
              <w:b/>
            </w:rPr>
          </w:pPr>
        </w:p>
      </w:tc>
    </w:tr>
  </w:tbl>
  <w:p w14:paraId="1A55D2A4" w14:textId="77777777" w:rsidR="00C45A1A" w:rsidRDefault="00C45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single" w:sz="4" w:space="0" w:color="84A0AF"/>
        <w:left w:val="none" w:sz="0" w:space="0" w:color="auto"/>
        <w:bottom w:val="single" w:sz="4" w:space="0" w:color="84A0AF"/>
        <w:right w:val="none" w:sz="0" w:space="0" w:color="auto"/>
        <w:insideH w:val="none" w:sz="0" w:space="0" w:color="auto"/>
        <w:insideV w:val="none" w:sz="0" w:space="0" w:color="auto"/>
      </w:tblBorders>
      <w:tblLook w:val="04A0" w:firstRow="1" w:lastRow="0" w:firstColumn="1" w:lastColumn="0" w:noHBand="0" w:noVBand="1"/>
    </w:tblPr>
    <w:tblGrid>
      <w:gridCol w:w="1252"/>
      <w:gridCol w:w="7774"/>
    </w:tblGrid>
    <w:tr w:rsidR="00E844D5" w:rsidRPr="00354F99" w14:paraId="0143916C" w14:textId="77777777" w:rsidTr="00FF19EE">
      <w:trPr>
        <w:trHeight w:val="1266"/>
        <w:jc w:val="center"/>
      </w:trPr>
      <w:tc>
        <w:tcPr>
          <w:tcW w:w="1362" w:type="dxa"/>
        </w:tcPr>
        <w:p w14:paraId="7B3D3557" w14:textId="77777777" w:rsidR="00E844D5" w:rsidRPr="00354F99" w:rsidRDefault="00E844D5" w:rsidP="00E844D5">
          <w:pPr>
            <w:tabs>
              <w:tab w:val="center" w:pos="4703"/>
              <w:tab w:val="right" w:pos="9406"/>
            </w:tabs>
            <w:rPr>
              <w:rFonts w:ascii="Calibri" w:eastAsia="Calibri" w:hAnsi="Calibri" w:cs="Times New Roman"/>
            </w:rPr>
          </w:pPr>
          <w:r>
            <w:rPr>
              <w:rFonts w:ascii="Calibri" w:eastAsia="Calibri" w:hAnsi="Calibri" w:cs="Times New Roman"/>
              <w:noProof/>
              <w:lang w:val="en-GB" w:eastAsia="en-GB"/>
            </w:rPr>
            <w:drawing>
              <wp:anchor distT="0" distB="0" distL="114300" distR="114300" simplePos="0" relativeHeight="251662336" behindDoc="0" locked="0" layoutInCell="1" allowOverlap="1" wp14:anchorId="182E7A6F" wp14:editId="4A1BAF85">
                <wp:simplePos x="0" y="0"/>
                <wp:positionH relativeFrom="column">
                  <wp:posOffset>17145</wp:posOffset>
                </wp:positionH>
                <wp:positionV relativeFrom="paragraph">
                  <wp:posOffset>58420</wp:posOffset>
                </wp:positionV>
                <wp:extent cx="790575" cy="730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 logo ea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30266"/>
                        </a:xfrm>
                        <a:prstGeom prst="rect">
                          <a:avLst/>
                        </a:prstGeom>
                      </pic:spPr>
                    </pic:pic>
                  </a:graphicData>
                </a:graphic>
                <wp14:sizeRelH relativeFrom="page">
                  <wp14:pctWidth>0</wp14:pctWidth>
                </wp14:sizeRelH>
                <wp14:sizeRelV relativeFrom="page">
                  <wp14:pctHeight>0</wp14:pctHeight>
                </wp14:sizeRelV>
              </wp:anchor>
            </w:drawing>
          </w:r>
        </w:p>
      </w:tc>
      <w:tc>
        <w:tcPr>
          <w:tcW w:w="8391" w:type="dxa"/>
        </w:tcPr>
        <w:p w14:paraId="76343839" w14:textId="77777777" w:rsidR="00E844D5" w:rsidRPr="00354F99" w:rsidRDefault="00E844D5" w:rsidP="00E844D5">
          <w:pPr>
            <w:tabs>
              <w:tab w:val="center" w:pos="4703"/>
              <w:tab w:val="right" w:pos="9406"/>
            </w:tabs>
            <w:ind w:left="798"/>
            <w:rPr>
              <w:rFonts w:ascii="Calibri" w:eastAsia="Calibri" w:hAnsi="Calibri" w:cs="Times New Roman"/>
            </w:rPr>
          </w:pPr>
          <w:r w:rsidRPr="00787DE0">
            <w:rPr>
              <w:rFonts w:ascii="Calibri" w:eastAsia="Calibri" w:hAnsi="Calibri" w:cs="Times New Roman"/>
              <w:noProof/>
              <w:lang w:val="en-GB" w:eastAsia="en-GB"/>
            </w:rPr>
            <mc:AlternateContent>
              <mc:Choice Requires="wps">
                <w:drawing>
                  <wp:anchor distT="45720" distB="45720" distL="114300" distR="114300" simplePos="0" relativeHeight="251663360" behindDoc="0" locked="0" layoutInCell="1" allowOverlap="1" wp14:anchorId="23295354" wp14:editId="036E7CC2">
                    <wp:simplePos x="0" y="0"/>
                    <wp:positionH relativeFrom="column">
                      <wp:posOffset>4295775</wp:posOffset>
                    </wp:positionH>
                    <wp:positionV relativeFrom="paragraph">
                      <wp:posOffset>14605</wp:posOffset>
                    </wp:positionV>
                    <wp:extent cx="103886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404620"/>
                            </a:xfrm>
                            <a:prstGeom prst="rect">
                              <a:avLst/>
                            </a:prstGeom>
                            <a:noFill/>
                            <a:ln w="9525">
                              <a:noFill/>
                              <a:miter lim="800000"/>
                              <a:headEnd/>
                              <a:tailEnd/>
                            </a:ln>
                          </wps:spPr>
                          <wps:txbx>
                            <w:txbxContent>
                              <w:p w14:paraId="3CDD7217" w14:textId="77777777" w:rsidR="00E844D5" w:rsidRPr="00DC7765" w:rsidRDefault="00E844D5" w:rsidP="00E844D5">
                                <w:pPr>
                                  <w:spacing w:after="0" w:line="240" w:lineRule="auto"/>
                                  <w:jc w:val="center"/>
                                  <w:rPr>
                                    <w:rFonts w:ascii="Courgette" w:hAnsi="Courgette"/>
                                    <w:color w:val="943931"/>
                                  </w:rPr>
                                </w:pPr>
                                <w:r w:rsidRPr="00DC7765">
                                  <w:rPr>
                                    <w:rFonts w:ascii="Courgette" w:hAnsi="Courgette"/>
                                    <w:color w:val="943931"/>
                                    <w:sz w:val="40"/>
                                    <w:szCs w:val="40"/>
                                  </w:rPr>
                                  <w:t>50</w:t>
                                </w:r>
                                <w:r w:rsidRPr="00DC7765">
                                  <w:rPr>
                                    <w:rFonts w:ascii="Courgette" w:hAnsi="Courgette"/>
                                    <w:color w:val="943931"/>
                                    <w:sz w:val="40"/>
                                    <w:szCs w:val="40"/>
                                    <w:vertAlign w:val="superscript"/>
                                  </w:rPr>
                                  <w:t>th</w:t>
                                </w:r>
                              </w:p>
                              <w:p w14:paraId="166EC016" w14:textId="77777777" w:rsidR="00E844D5" w:rsidRPr="00DC7765" w:rsidRDefault="00E844D5" w:rsidP="00E844D5">
                                <w:pPr>
                                  <w:spacing w:after="0" w:line="240" w:lineRule="auto"/>
                                  <w:rPr>
                                    <w:b/>
                                    <w:color w:val="943931"/>
                                  </w:rPr>
                                </w:pPr>
                                <w:r w:rsidRPr="00DC7765">
                                  <w:rPr>
                                    <w:b/>
                                    <w:color w:val="943931"/>
                                  </w:rPr>
                                  <w:t>Anniversary</w:t>
                                </w:r>
                              </w:p>
                              <w:p w14:paraId="31CBDCC4" w14:textId="77777777" w:rsidR="00E844D5" w:rsidRPr="00DC7765" w:rsidRDefault="00E844D5" w:rsidP="00E844D5">
                                <w:pPr>
                                  <w:spacing w:after="0" w:line="240" w:lineRule="auto"/>
                                  <w:rPr>
                                    <w:b/>
                                    <w:color w:val="943931"/>
                                  </w:rPr>
                                </w:pPr>
                                <w:r w:rsidRPr="00DC7765">
                                  <w:rPr>
                                    <w:b/>
                                    <w:color w:val="943931"/>
                                  </w:rPr>
                                  <w:t>1970-2020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95354" id="_x0000_t202" coordsize="21600,21600" o:spt="202" path="m,l,21600r21600,l21600,xe">
                    <v:stroke joinstyle="miter"/>
                    <v:path gradientshapeok="t" o:connecttype="rect"/>
                  </v:shapetype>
                  <v:shape id="_x0000_s1027" type="#_x0000_t202" style="position:absolute;left:0;text-align:left;margin-left:338.25pt;margin-top:1.15pt;width:81.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" filled="f" stroked="f">
                    <v:textbox style="mso-fit-shape-to-text:t">
                      <w:txbxContent>
                        <w:p w14:paraId="3CDD7217" w14:textId="77777777" w:rsidR="00E844D5" w:rsidRPr="00DC7765" w:rsidRDefault="00E844D5" w:rsidP="00E844D5">
                          <w:pPr>
                            <w:spacing w:after="0" w:line="240" w:lineRule="auto"/>
                            <w:jc w:val="center"/>
                            <w:rPr>
                              <w:rFonts w:ascii="Courgette" w:hAnsi="Courgette"/>
                              <w:color w:val="943931"/>
                            </w:rPr>
                          </w:pPr>
                          <w:r w:rsidRPr="00DC7765">
                            <w:rPr>
                              <w:rFonts w:ascii="Courgette" w:hAnsi="Courgette"/>
                              <w:color w:val="943931"/>
                              <w:sz w:val="40"/>
                              <w:szCs w:val="40"/>
                            </w:rPr>
                            <w:t>50</w:t>
                          </w:r>
                          <w:r w:rsidRPr="00DC7765">
                            <w:rPr>
                              <w:rFonts w:ascii="Courgette" w:hAnsi="Courgette"/>
                              <w:color w:val="943931"/>
                              <w:sz w:val="40"/>
                              <w:szCs w:val="40"/>
                              <w:vertAlign w:val="superscript"/>
                            </w:rPr>
                            <w:t>th</w:t>
                          </w:r>
                        </w:p>
                        <w:p w14:paraId="166EC016" w14:textId="77777777" w:rsidR="00E844D5" w:rsidRPr="00DC7765" w:rsidRDefault="00E844D5" w:rsidP="00E844D5">
                          <w:pPr>
                            <w:spacing w:after="0" w:line="240" w:lineRule="auto"/>
                            <w:rPr>
                              <w:b/>
                              <w:color w:val="943931"/>
                            </w:rPr>
                          </w:pPr>
                          <w:r w:rsidRPr="00DC7765">
                            <w:rPr>
                              <w:b/>
                              <w:color w:val="943931"/>
                            </w:rPr>
                            <w:t>Anniversary</w:t>
                          </w:r>
                        </w:p>
                        <w:p w14:paraId="31CBDCC4" w14:textId="77777777" w:rsidR="00E844D5" w:rsidRPr="00DC7765" w:rsidRDefault="00E844D5" w:rsidP="00E844D5">
                          <w:pPr>
                            <w:spacing w:after="0" w:line="240" w:lineRule="auto"/>
                            <w:rPr>
                              <w:b/>
                              <w:color w:val="943931"/>
                            </w:rPr>
                          </w:pPr>
                          <w:r w:rsidRPr="00DC7765">
                            <w:rPr>
                              <w:b/>
                              <w:color w:val="943931"/>
                            </w:rPr>
                            <w:t>1970-2020</w:t>
                          </w:r>
                        </w:p>
                      </w:txbxContent>
                    </v:textbox>
                  </v:shape>
                </w:pict>
              </mc:Fallback>
            </mc:AlternateContent>
          </w:r>
        </w:p>
        <w:p w14:paraId="4C5DD905" w14:textId="77777777" w:rsidR="00E844D5" w:rsidRPr="00231EB0" w:rsidRDefault="00E844D5" w:rsidP="00E844D5">
          <w:pPr>
            <w:tabs>
              <w:tab w:val="center" w:pos="4703"/>
              <w:tab w:val="right" w:pos="9406"/>
            </w:tabs>
            <w:ind w:left="231"/>
            <w:rPr>
              <w:rFonts w:ascii="Calibri" w:eastAsia="Calibri" w:hAnsi="Calibri" w:cs="Times New Roman"/>
              <w:b/>
              <w:color w:val="6A8B9E"/>
              <w:sz w:val="28"/>
              <w:szCs w:val="28"/>
            </w:rPr>
          </w:pPr>
          <w:r w:rsidRPr="00231EB0">
            <w:rPr>
              <w:rFonts w:ascii="Calibri" w:eastAsia="Calibri" w:hAnsi="Calibri" w:cs="Times New Roman"/>
              <w:b/>
              <w:color w:val="6A8B9E"/>
              <w:sz w:val="28"/>
              <w:szCs w:val="28"/>
            </w:rPr>
            <w:t>EUROPEAN ASSOCIATION OF CO-OPERATIVE BANKS</w:t>
          </w:r>
        </w:p>
        <w:p w14:paraId="475B6776" w14:textId="77777777" w:rsidR="00E844D5" w:rsidRPr="00231EB0" w:rsidRDefault="00E844D5" w:rsidP="00E844D5">
          <w:pPr>
            <w:tabs>
              <w:tab w:val="center" w:pos="4703"/>
              <w:tab w:val="right" w:pos="9406"/>
            </w:tabs>
            <w:ind w:left="231"/>
            <w:rPr>
              <w:rFonts w:ascii="Calibri" w:eastAsia="Calibri" w:hAnsi="Calibri" w:cs="Times New Roman"/>
              <w:b/>
              <w:color w:val="6A8B9E"/>
            </w:rPr>
          </w:pPr>
          <w:r w:rsidRPr="00231EB0">
            <w:rPr>
              <w:rFonts w:ascii="Calibri" w:eastAsia="Calibri" w:hAnsi="Calibri" w:cs="Times New Roman"/>
              <w:b/>
              <w:color w:val="6A8B9E"/>
            </w:rPr>
            <w:t xml:space="preserve">The Co-operative Difference :  </w:t>
          </w:r>
          <w:r w:rsidRPr="00B01607">
            <w:rPr>
              <w:rFonts w:ascii="Calibri" w:eastAsia="Calibri" w:hAnsi="Calibri" w:cs="Times New Roman"/>
              <w:b/>
              <w:color w:val="6A8B9E"/>
            </w:rPr>
            <w:t>Sustainability</w:t>
          </w:r>
          <w:r w:rsidRPr="00231EB0">
            <w:rPr>
              <w:rFonts w:ascii="Calibri" w:eastAsia="Calibri" w:hAnsi="Calibri" w:cs="Times New Roman"/>
              <w:b/>
              <w:color w:val="6A8B9E"/>
            </w:rPr>
            <w:t xml:space="preserve">, Proximity, Governance </w:t>
          </w:r>
        </w:p>
        <w:p w14:paraId="189D011F" w14:textId="77777777" w:rsidR="00E844D5" w:rsidRDefault="00E844D5" w:rsidP="00E844D5">
          <w:pPr>
            <w:tabs>
              <w:tab w:val="center" w:pos="4703"/>
              <w:tab w:val="right" w:pos="9406"/>
            </w:tabs>
            <w:ind w:left="798"/>
            <w:rPr>
              <w:rFonts w:ascii="Calibri" w:eastAsia="Calibri" w:hAnsi="Calibri" w:cs="Times New Roman"/>
              <w:b/>
              <w:color w:val="767171"/>
            </w:rPr>
          </w:pPr>
        </w:p>
        <w:p w14:paraId="5A40C146" w14:textId="77777777" w:rsidR="00E844D5" w:rsidRPr="00EB4738" w:rsidRDefault="00E844D5" w:rsidP="00E844D5">
          <w:pPr>
            <w:tabs>
              <w:tab w:val="center" w:pos="4703"/>
              <w:tab w:val="right" w:pos="9406"/>
            </w:tabs>
            <w:ind w:left="798"/>
            <w:rPr>
              <w:rFonts w:ascii="Calibri" w:eastAsia="Calibri" w:hAnsi="Calibri" w:cs="Times New Roman"/>
              <w:b/>
            </w:rPr>
          </w:pPr>
        </w:p>
      </w:tc>
    </w:tr>
  </w:tbl>
  <w:p w14:paraId="73FB32A0" w14:textId="77777777" w:rsidR="0008248A" w:rsidRDefault="0008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0AAA86"/>
    <w:multiLevelType w:val="hybridMultilevel"/>
    <w:tmpl w:val="E84EAC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326CA"/>
    <w:multiLevelType w:val="hybridMultilevel"/>
    <w:tmpl w:val="52785A3C"/>
    <w:lvl w:ilvl="0" w:tplc="B538A9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B4F2C"/>
    <w:multiLevelType w:val="hybridMultilevel"/>
    <w:tmpl w:val="AFF266F0"/>
    <w:lvl w:ilvl="0" w:tplc="1F824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5B"/>
    <w:rsid w:val="00036CB7"/>
    <w:rsid w:val="0008248A"/>
    <w:rsid w:val="000920E6"/>
    <w:rsid w:val="000A1BB1"/>
    <w:rsid w:val="000A7D3A"/>
    <w:rsid w:val="000B4049"/>
    <w:rsid w:val="00124B25"/>
    <w:rsid w:val="001412CB"/>
    <w:rsid w:val="001942FD"/>
    <w:rsid w:val="001C1163"/>
    <w:rsid w:val="001E38F9"/>
    <w:rsid w:val="0020545F"/>
    <w:rsid w:val="002309D1"/>
    <w:rsid w:val="00257775"/>
    <w:rsid w:val="00282EDC"/>
    <w:rsid w:val="002E6117"/>
    <w:rsid w:val="002F5E1B"/>
    <w:rsid w:val="003114F5"/>
    <w:rsid w:val="00313FFA"/>
    <w:rsid w:val="00336FA5"/>
    <w:rsid w:val="00381DBF"/>
    <w:rsid w:val="003B6DC6"/>
    <w:rsid w:val="004013D1"/>
    <w:rsid w:val="0041173C"/>
    <w:rsid w:val="004E4CFF"/>
    <w:rsid w:val="0054060F"/>
    <w:rsid w:val="00543A54"/>
    <w:rsid w:val="005B2330"/>
    <w:rsid w:val="006221A3"/>
    <w:rsid w:val="006236F6"/>
    <w:rsid w:val="00687EF2"/>
    <w:rsid w:val="0073397B"/>
    <w:rsid w:val="00736745"/>
    <w:rsid w:val="00746BEB"/>
    <w:rsid w:val="007614CB"/>
    <w:rsid w:val="00766DD4"/>
    <w:rsid w:val="00875802"/>
    <w:rsid w:val="008C3724"/>
    <w:rsid w:val="00900F16"/>
    <w:rsid w:val="009816C4"/>
    <w:rsid w:val="009A350E"/>
    <w:rsid w:val="009B53B4"/>
    <w:rsid w:val="009D6F42"/>
    <w:rsid w:val="009F3E50"/>
    <w:rsid w:val="00A42505"/>
    <w:rsid w:val="00A7592E"/>
    <w:rsid w:val="00AB0F06"/>
    <w:rsid w:val="00AC3446"/>
    <w:rsid w:val="00AF54B3"/>
    <w:rsid w:val="00B25EFB"/>
    <w:rsid w:val="00B563CD"/>
    <w:rsid w:val="00B76266"/>
    <w:rsid w:val="00B90C7C"/>
    <w:rsid w:val="00BA6B67"/>
    <w:rsid w:val="00BB40C0"/>
    <w:rsid w:val="00BD5A66"/>
    <w:rsid w:val="00C20AFF"/>
    <w:rsid w:val="00C45A1A"/>
    <w:rsid w:val="00C57FC6"/>
    <w:rsid w:val="00CD296C"/>
    <w:rsid w:val="00CE564D"/>
    <w:rsid w:val="00D05559"/>
    <w:rsid w:val="00D90561"/>
    <w:rsid w:val="00DD055B"/>
    <w:rsid w:val="00DD52B3"/>
    <w:rsid w:val="00E223D3"/>
    <w:rsid w:val="00E65857"/>
    <w:rsid w:val="00E844D5"/>
    <w:rsid w:val="00EA4F0C"/>
    <w:rsid w:val="00EA60F8"/>
    <w:rsid w:val="00EE7577"/>
    <w:rsid w:val="00F00047"/>
    <w:rsid w:val="00F11566"/>
    <w:rsid w:val="00F20D6B"/>
    <w:rsid w:val="00F36D78"/>
    <w:rsid w:val="00F46F23"/>
    <w:rsid w:val="00FB2B8D"/>
    <w:rsid w:val="00FC11D2"/>
    <w:rsid w:val="00FF0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6A724"/>
  <w15:chartTrackingRefBased/>
  <w15:docId w15:val="{BFC2FC3B-EABD-4515-AAE5-C8AA5FD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5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5A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A1A"/>
  </w:style>
  <w:style w:type="paragraph" w:styleId="Footer">
    <w:name w:val="footer"/>
    <w:basedOn w:val="Normal"/>
    <w:link w:val="FooterChar"/>
    <w:uiPriority w:val="99"/>
    <w:unhideWhenUsed/>
    <w:rsid w:val="00C45A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A1A"/>
  </w:style>
  <w:style w:type="table" w:styleId="TableGrid">
    <w:name w:val="Table Grid"/>
    <w:basedOn w:val="TableNormal"/>
    <w:uiPriority w:val="39"/>
    <w:rsid w:val="00C45A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6266"/>
    <w:pPr>
      <w:spacing w:after="0" w:line="240" w:lineRule="auto"/>
    </w:pPr>
    <w:rPr>
      <w:rFonts w:eastAsiaTheme="minorEastAsia"/>
      <w:sz w:val="20"/>
      <w:szCs w:val="20"/>
      <w:lang w:val="en-GB"/>
    </w:rPr>
  </w:style>
  <w:style w:type="character" w:customStyle="1" w:styleId="NoSpacingChar">
    <w:name w:val="No Spacing Char"/>
    <w:basedOn w:val="DefaultParagraphFont"/>
    <w:link w:val="NoSpacing"/>
    <w:uiPriority w:val="1"/>
    <w:rsid w:val="00B76266"/>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cb.co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acb.coop/en/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t@eacb.coop" TargetMode="External"/><Relationship Id="rId1" Type="http://schemas.openxmlformats.org/officeDocument/2006/relationships/hyperlink" Target="http://www.eacb.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F785B5ECC214CABF4F1701CFEF372" ma:contentTypeVersion="15" ma:contentTypeDescription="Create a new document." ma:contentTypeScope="" ma:versionID="1a69e4a74cee5b2916d2a0d9357cbe80">
  <xsd:schema xmlns:xsd="http://www.w3.org/2001/XMLSchema" xmlns:xs="http://www.w3.org/2001/XMLSchema" xmlns:p="http://schemas.microsoft.com/office/2006/metadata/properties" xmlns:ns1="http://schemas.microsoft.com/sharepoint/v3" xmlns:ns3="74768912-d652-4504-aacf-f5bab4c31e0d" xmlns:ns4="b0b5e00a-ba30-4e18-83b0-de2c43c9d339" targetNamespace="http://schemas.microsoft.com/office/2006/metadata/properties" ma:root="true" ma:fieldsID="0a54da6a89f8b8ce96218f06ec1cf687" ns1:_="" ns3:_="" ns4:_="">
    <xsd:import namespace="http://schemas.microsoft.com/sharepoint/v3"/>
    <xsd:import namespace="74768912-d652-4504-aacf-f5bab4c31e0d"/>
    <xsd:import namespace="b0b5e00a-ba30-4e18-83b0-de2c43c9d3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68912-d652-4504-aacf-f5bab4c31e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5e00a-ba30-4e18-83b0-de2c43c9d3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E2FE69-A728-44E1-9091-DF0CCEF0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68912-d652-4504-aacf-f5bab4c31e0d"/>
    <ds:schemaRef ds:uri="b0b5e00a-ba30-4e18-83b0-de2c43c9d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8423F-145A-4AAA-B204-49AC1880C269}">
  <ds:schemaRefs>
    <ds:schemaRef ds:uri="http://schemas.microsoft.com/sharepoint/v3/contenttype/forms"/>
  </ds:schemaRefs>
</ds:datastoreItem>
</file>

<file path=customXml/itemProps3.xml><?xml version="1.0" encoding="utf-8"?>
<ds:datastoreItem xmlns:ds="http://schemas.openxmlformats.org/officeDocument/2006/customXml" ds:itemID="{99F973EE-27FB-4F26-B6EF-5432B3AAD1F9}">
  <ds:schemaRefs>
    <ds:schemaRef ds:uri="http://schemas.microsoft.com/office/2006/documentManagement/types"/>
    <ds:schemaRef ds:uri="74768912-d652-4504-aacf-f5bab4c31e0d"/>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openxmlformats.org/package/2006/metadata/core-properties"/>
    <ds:schemaRef ds:uri="b0b5e00a-ba30-4e18-83b0-de2c43c9d3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MOSER</dc:creator>
  <cp:keywords/>
  <dc:description/>
  <cp:lastModifiedBy>Marieke van Berkel</cp:lastModifiedBy>
  <cp:revision>2</cp:revision>
  <dcterms:created xsi:type="dcterms:W3CDTF">2020-08-31T09:05:00Z</dcterms:created>
  <dcterms:modified xsi:type="dcterms:W3CDTF">2020-08-31T09:05:00Z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iteId">
    <vt:lpwstr>9b511fda-f0b1-43a5-b06e-1e720f64520a</vt:lpwstr>
  </property>
  <property fmtid="{D5CDD505-2E9C-101B-9397-08002B2CF9AE}" pid="4" name="MSIP_Label_2a6524ed-fb1a-49fd-bafe-15c5e5ffd047_Owner">
    <vt:lpwstr>anja.moser@rbinternational.com</vt:lpwstr>
  </property>
  <property fmtid="{D5CDD505-2E9C-101B-9397-08002B2CF9AE}" pid="5" name="MSIP_Label_2a6524ed-fb1a-49fd-bafe-15c5e5ffd047_SetDate">
    <vt:lpwstr>2020-06-29T14:25:05.1459096Z</vt:lpwstr>
  </property>
  <property fmtid="{D5CDD505-2E9C-101B-9397-08002B2CF9AE}" pid="6" name="MSIP_Label_2a6524ed-fb1a-49fd-bafe-15c5e5ffd047_Name">
    <vt:lpwstr>General</vt:lpwstr>
  </property>
  <property fmtid="{D5CDD505-2E9C-101B-9397-08002B2CF9AE}" pid="7" name="MSIP_Label_2a6524ed-fb1a-49fd-bafe-15c5e5ffd047_Application">
    <vt:lpwstr>Microsoft Azure Information Protection</vt:lpwstr>
  </property>
  <property fmtid="{D5CDD505-2E9C-101B-9397-08002B2CF9AE}" pid="8" name="MSIP_Label_2a6524ed-fb1a-49fd-bafe-15c5e5ffd047_ActionId">
    <vt:lpwstr>668e43c7-73e8-47aa-b8ca-ac4e2b4d2dbe</vt:lpwstr>
  </property>
  <property fmtid="{D5CDD505-2E9C-101B-9397-08002B2CF9AE}" pid="9" name="MSIP_Label_2a6524ed-fb1a-49fd-bafe-15c5e5ffd047_Extended_MSFT_Method">
    <vt:lpwstr>Manual</vt:lpwstr>
  </property>
  <property fmtid="{D5CDD505-2E9C-101B-9397-08002B2CF9AE}" pid="10" name="Sensitivity">
    <vt:lpwstr>General</vt:lpwstr>
  </property>
  <property fmtid="{D5CDD505-2E9C-101B-9397-08002B2CF9AE}" pid="11" name="ContentTypeId">
    <vt:lpwstr>0x010100CD9F785B5ECC214CABF4F1701CFEF372</vt:lpwstr>
  </property>
</Properties>
</file>